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b/>
          <w:bCs/>
          <w:sz w:val="24"/>
          <w:szCs w:val="24"/>
        </w:rPr>
      </w:pPr>
      <w:r>
        <w:rPr>
          <w:rFonts w:cs="Arial" w:ascii="Arial" w:hAnsi="Arial"/>
          <w:b/>
          <w:bCs/>
          <w:sz w:val="24"/>
          <w:szCs w:val="24"/>
        </w:rPr>
        <mc:AlternateContent>
          <mc:Choice Requires="wps">
            <w:drawing>
              <wp:anchor behindDoc="0" distT="0" distB="0" distL="0" distR="0" simplePos="0" locked="0" layoutInCell="0" allowOverlap="1" relativeHeight="3">
                <wp:simplePos x="0" y="0"/>
                <wp:positionH relativeFrom="column">
                  <wp:posOffset>-172085</wp:posOffset>
                </wp:positionH>
                <wp:positionV relativeFrom="paragraph">
                  <wp:posOffset>28575</wp:posOffset>
                </wp:positionV>
                <wp:extent cx="5683885" cy="473075"/>
                <wp:effectExtent l="12700" t="19050" r="12700" b="19050"/>
                <wp:wrapNone/>
                <wp:docPr id="1" name="Imagen 9"/>
                <a:graphic xmlns:a="http://schemas.openxmlformats.org/drawingml/2006/main">
                  <a:graphicData uri="http://schemas.openxmlformats.org/drawingml/2006/picture">
                    <pic:pic xmlns:pic="http://schemas.openxmlformats.org/drawingml/2006/picture">
                      <pic:nvPicPr>
                        <pic:cNvPr id="0" name="Imagen 9" descr=""/>
                        <pic:cNvPicPr/>
                      </pic:nvPicPr>
                      <pic:blipFill>
                        <a:blip r:embed="rId2"/>
                        <a:srcRect l="3517" t="28734" r="5743" b="53808"/>
                        <a:stretch/>
                      </pic:blipFill>
                      <pic:spPr>
                        <a:xfrm rot="21576600">
                          <a:off x="0" y="0"/>
                          <a:ext cx="5684040" cy="47304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9" stroked="f" o:allowincell="f" style="position:absolute;margin-left:-13.6pt;margin-top:2.25pt;width:447.5pt;height:37.2pt;mso-wrap-style:none;v-text-anchor:middle;rotation:359" type="_x0000_t75">
                <v:imagedata r:id="rId2" o:detectmouseclick="t"/>
                <v:stroke color="#3465a4" joinstyle="round" endcap="flat"/>
                <w10:wrap type="none"/>
              </v:shape>
            </w:pict>
          </mc:Fallback>
        </mc:AlternateContent>
      </w:r>
      <w:bookmarkStart w:id="0" w:name="_GoBack"/>
      <w:bookmarkStart w:id="1" w:name="_GoBack"/>
      <w:bookmarkEnd w:id="1"/>
    </w:p>
    <w:p>
      <w:pPr>
        <w:pStyle w:val="Normal"/>
        <w:rPr>
          <w:rFonts w:ascii="Arial" w:hAnsi="Arial" w:cs="Arial"/>
          <w:b/>
          <w:b/>
          <w:bCs/>
          <w:sz w:val="24"/>
          <w:szCs w:val="24"/>
        </w:rPr>
      </w:pPr>
      <w:r>
        <w:rPr>
          <w:rFonts w:cs="Arial" w:ascii="Arial" w:hAnsi="Arial"/>
          <w:b/>
          <w:bCs/>
          <w:sz w:val="24"/>
          <w:szCs w:val="24"/>
        </w:rPr>
        <w:t xml:space="preserve">  </w:t>
      </w:r>
    </w:p>
    <w:p>
      <w:pPr>
        <w:pStyle w:val="Normal"/>
        <w:spacing w:lineRule="auto" w:line="240" w:before="0" w:after="0"/>
        <w:jc w:val="center"/>
        <w:rPr>
          <w:rFonts w:ascii="Algerian" w:hAnsi="Algerian" w:eastAsia="Times New Roman" w:cs="Arial"/>
          <w:b/>
          <w:b/>
          <w:sz w:val="44"/>
          <w:szCs w:val="44"/>
          <w:lang w:eastAsia="es-ES"/>
        </w:rPr>
      </w:pPr>
      <w:r>
        <w:rPr/>
      </w:r>
    </w:p>
    <w:p>
      <w:pPr>
        <w:pStyle w:val="Normal"/>
        <w:spacing w:lineRule="auto" w:line="240" w:before="0" w:after="0"/>
        <w:jc w:val="center"/>
        <w:rPr>
          <w:rFonts w:ascii="Algerian" w:hAnsi="Algerian" w:eastAsia="Times New Roman" w:cs="Arial"/>
          <w:b/>
          <w:b/>
          <w:sz w:val="44"/>
          <w:szCs w:val="44"/>
          <w:lang w:eastAsia="es-ES"/>
        </w:rPr>
      </w:pPr>
      <w:r>
        <w:rPr>
          <w:rFonts w:eastAsia="Times New Roman" w:cs="Arial" w:ascii="Algerian" w:hAnsi="Algerian"/>
          <w:b/>
          <w:sz w:val="44"/>
          <w:szCs w:val="44"/>
          <w:lang w:eastAsia="es-ES"/>
        </w:rPr>
      </w:r>
    </w:p>
    <w:p>
      <w:pPr>
        <w:pStyle w:val="Normal"/>
        <w:spacing w:lineRule="auto" w:line="240" w:before="0" w:after="0"/>
        <w:jc w:val="center"/>
        <w:rPr>
          <w:rFonts w:ascii="Algerian" w:hAnsi="Algerian" w:eastAsia="Times New Roman" w:cs="Arial"/>
          <w:b/>
          <w:b/>
          <w:sz w:val="44"/>
          <w:szCs w:val="44"/>
          <w:lang w:eastAsia="es-ES"/>
        </w:rPr>
      </w:pPr>
      <w:r>
        <w:rPr>
          <w:rFonts w:eastAsia="Times New Roman" w:cs="Arial" w:ascii="Algerian" w:hAnsi="Algerian"/>
          <w:b/>
          <w:sz w:val="44"/>
          <w:szCs w:val="44"/>
          <w:lang w:eastAsia="es-ES"/>
        </w:rPr>
      </w:r>
    </w:p>
    <w:p>
      <w:pPr>
        <w:pStyle w:val="Normal"/>
        <w:spacing w:lineRule="auto" w:line="240" w:before="0" w:after="0"/>
        <w:jc w:val="center"/>
        <w:rPr>
          <w:rFonts w:ascii="Arial" w:hAnsi="Arial" w:eastAsia="Times New Roman" w:cs="Times New Roman"/>
          <w:bCs/>
          <w:sz w:val="24"/>
          <w:szCs w:val="24"/>
          <w:lang w:eastAsia="es-ES"/>
        </w:rPr>
      </w:pPr>
      <w:r>
        <w:rPr>
          <w:rFonts w:eastAsia="Times New Roman" w:cs="Times New Roman" w:ascii="Arial" w:hAnsi="Arial"/>
          <w:bCs/>
          <w:sz w:val="24"/>
          <w:szCs w:val="24"/>
          <w:lang w:eastAsia="es-ES"/>
        </w:rPr>
      </w:r>
    </w:p>
    <w:p>
      <w:pPr>
        <w:pStyle w:val="Normal"/>
        <w:spacing w:lineRule="auto" w:line="240" w:before="0" w:after="0"/>
        <w:jc w:val="center"/>
        <w:rPr>
          <w:rFonts w:ascii="Arial" w:hAnsi="Arial" w:eastAsia="Times New Roman" w:cs="Times New Roman"/>
          <w:bCs/>
          <w:sz w:val="24"/>
          <w:szCs w:val="24"/>
          <w:lang w:eastAsia="es-ES"/>
        </w:rPr>
      </w:pPr>
      <w:r>
        <w:rPr>
          <w:rFonts w:eastAsia="Times New Roman" w:cs="Times New Roman" w:ascii="Arial" w:hAnsi="Arial"/>
          <w:bCs/>
          <w:sz w:val="24"/>
          <w:szCs w:val="24"/>
          <w:lang w:eastAsia="es-ES"/>
        </w:rPr>
      </w:r>
    </w:p>
    <w:p>
      <w:pPr>
        <w:pStyle w:val="Normal"/>
        <w:spacing w:lineRule="auto" w:line="240" w:before="0" w:after="0"/>
        <w:jc w:val="left"/>
        <w:rPr/>
      </w:pPr>
      <w:r>
        <w:rPr>
          <w:rFonts w:eastAsia="Times New Roman" w:cs="Arial" w:ascii="Algerian" w:hAnsi="Algerian"/>
          <w:b/>
          <w:sz w:val="24"/>
          <w:szCs w:val="24"/>
          <w:lang w:eastAsia="es-ES"/>
        </w:rPr>
        <w:t>Título</w:t>
      </w:r>
      <w:r>
        <w:rPr>
          <w:rStyle w:val="IntenseReference"/>
          <w:color w:val="auto"/>
          <w:sz w:val="24"/>
          <w:szCs w:val="24"/>
          <w:lang w:eastAsia="es-ES"/>
        </w:rPr>
        <w:t xml:space="preserve">:  </w:t>
      </w:r>
      <w:r>
        <w:rPr>
          <w:rStyle w:val="IntenseReference"/>
          <w:rFonts w:ascii="Algerian" w:hAnsi="Algerian"/>
          <w:b w:val="false"/>
          <w:bCs w:val="false"/>
          <w:color w:val="auto"/>
          <w:sz w:val="24"/>
          <w:szCs w:val="24"/>
        </w:rPr>
        <w:t>COMPORTAMIENTO DE LA MORVIMORTALIDAD EN PACIENTES CON LUPUS ERITEMATOSO SISTEMICO EN EL HOSPITAL LUCIA IÑIGUEZ LANDIN DE ENERO DE 2017-DICIEMBRE DE 2021.</w:t>
      </w:r>
    </w:p>
    <w:p>
      <w:pPr>
        <w:pStyle w:val="Normal"/>
        <w:spacing w:lineRule="auto" w:line="240" w:before="0" w:after="0"/>
        <w:jc w:val="center"/>
        <w:rPr>
          <w:rStyle w:val="IntenseReference"/>
          <w:rFonts w:ascii="Algerian" w:hAnsi="Algerian"/>
          <w:b w:val="false"/>
          <w:b w:val="false"/>
          <w:bCs w:val="false"/>
          <w:color w:val="auto"/>
          <w:sz w:val="24"/>
          <w:szCs w:val="24"/>
        </w:rPr>
      </w:pPr>
      <w:r>
        <w:rPr>
          <w:rFonts w:ascii="Algerian" w:hAnsi="Algerian"/>
          <w:b w:val="false"/>
          <w:bCs w:val="false"/>
          <w:color w:val="auto"/>
          <w:sz w:val="24"/>
          <w:szCs w:val="24"/>
        </w:rPr>
      </w:r>
    </w:p>
    <w:p>
      <w:pPr>
        <w:pStyle w:val="Normal"/>
        <w:spacing w:lineRule="auto" w:line="240" w:before="0" w:after="0"/>
        <w:jc w:val="center"/>
        <w:rPr>
          <w:rStyle w:val="Strong"/>
          <w:rFonts w:ascii="Algerian" w:hAnsi="Algerian" w:cs="Arial"/>
          <w:b w:val="false"/>
          <w:b w:val="false"/>
          <w:i/>
          <w:i/>
          <w:iCs/>
          <w:sz w:val="24"/>
          <w:szCs w:val="24"/>
          <w:lang w:eastAsia="es-ES"/>
        </w:rPr>
      </w:pPr>
      <w:r>
        <w:rPr>
          <w:rFonts w:cs="Arial" w:ascii="Algerian" w:hAnsi="Algerian"/>
          <w:b w:val="false"/>
          <w:i/>
          <w:iCs/>
          <w:sz w:val="24"/>
          <w:szCs w:val="24"/>
          <w:lang w:eastAsia="es-ES"/>
        </w:rPr>
      </w:r>
    </w:p>
    <w:p>
      <w:pPr>
        <w:pStyle w:val="Normal"/>
        <w:spacing w:lineRule="auto" w:line="240" w:before="0" w:after="0"/>
        <w:jc w:val="left"/>
        <w:rPr>
          <w:sz w:val="24"/>
          <w:szCs w:val="24"/>
        </w:rPr>
      </w:pPr>
      <w:r>
        <w:rPr>
          <w:rFonts w:eastAsia="Times New Roman" w:cs="Arial" w:ascii="Algerian" w:hAnsi="Algerian"/>
          <w:b/>
          <w:sz w:val="24"/>
          <w:szCs w:val="24"/>
          <w:lang w:eastAsia="es-ES"/>
        </w:rPr>
        <w:t>Autores</w:t>
      </w:r>
      <w:r>
        <w:rPr>
          <w:rFonts w:eastAsia="Times New Roman" w:cs="Arial" w:ascii="Algerian" w:hAnsi="Algerian"/>
          <w:bCs/>
          <w:sz w:val="24"/>
          <w:szCs w:val="24"/>
          <w:lang w:eastAsia="es-ES"/>
        </w:rPr>
        <w:t>:</w:t>
      </w:r>
    </w:p>
    <w:p>
      <w:pPr>
        <w:pStyle w:val="Normal"/>
        <w:spacing w:lineRule="auto" w:line="240" w:before="0" w:after="0"/>
        <w:jc w:val="center"/>
        <w:rPr>
          <w:rFonts w:ascii="Algerian" w:hAnsi="Algerian" w:eastAsia="Times New Roman" w:cs="Arial"/>
          <w:bCs/>
          <w:i/>
          <w:i/>
          <w:iCs/>
          <w:sz w:val="24"/>
          <w:szCs w:val="24"/>
          <w:lang w:eastAsia="es-ES"/>
        </w:rPr>
      </w:pPr>
      <w:r>
        <w:rPr>
          <w:rFonts w:eastAsia="Times New Roman" w:cs="Arial" w:ascii="Algerian" w:hAnsi="Algerian"/>
          <w:bCs/>
          <w:i/>
          <w:iCs/>
          <w:sz w:val="24"/>
          <w:szCs w:val="24"/>
          <w:lang w:eastAsia="es-ES"/>
        </w:rPr>
      </w:r>
    </w:p>
    <w:p>
      <w:pPr>
        <w:pStyle w:val="Normal"/>
        <w:spacing w:lineRule="auto" w:line="240" w:before="0" w:after="0"/>
        <w:jc w:val="left"/>
        <w:rPr>
          <w:sz w:val="24"/>
          <w:szCs w:val="24"/>
        </w:rPr>
      </w:pPr>
      <w:r>
        <w:rPr>
          <w:rFonts w:eastAsia="Times New Roman" w:cs="Arial" w:ascii="Algerian" w:hAnsi="Algerian"/>
          <w:bCs/>
          <w:sz w:val="24"/>
          <w:szCs w:val="24"/>
          <w:lang w:eastAsia="es-ES"/>
        </w:rPr>
        <w:t>Dra. Karina Perdomo Hernández</w:t>
      </w:r>
    </w:p>
    <w:p>
      <w:pPr>
        <w:pStyle w:val="Normal"/>
        <w:spacing w:lineRule="auto" w:line="240" w:before="0" w:after="0"/>
        <w:jc w:val="left"/>
        <w:rPr>
          <w:sz w:val="24"/>
          <w:szCs w:val="24"/>
        </w:rPr>
      </w:pPr>
      <w:r>
        <w:rPr>
          <w:rFonts w:eastAsia="Times New Roman" w:cs="Arial" w:ascii="Algerian" w:hAnsi="Algerian"/>
          <w:bCs/>
          <w:sz w:val="24"/>
          <w:szCs w:val="24"/>
          <w:lang w:eastAsia="es-ES"/>
        </w:rPr>
        <w:t>Dra. Silvia Tarqui FLORES</w:t>
      </w:r>
    </w:p>
    <w:p>
      <w:pPr>
        <w:pStyle w:val="Normal"/>
        <w:spacing w:lineRule="auto" w:line="240" w:before="0" w:after="0"/>
        <w:jc w:val="left"/>
        <w:rPr>
          <w:sz w:val="24"/>
          <w:szCs w:val="24"/>
        </w:rPr>
      </w:pPr>
      <w:r>
        <w:rPr>
          <w:rFonts w:eastAsia="Times New Roman" w:cs="Arial" w:ascii="Algerian" w:hAnsi="Algerian"/>
          <w:bCs/>
          <w:sz w:val="24"/>
          <w:szCs w:val="24"/>
          <w:lang w:eastAsia="es-ES"/>
        </w:rPr>
        <w:t>Dra. Yenni Acosta Abad</w:t>
      </w:r>
    </w:p>
    <w:p>
      <w:pPr>
        <w:pStyle w:val="Normal"/>
        <w:spacing w:lineRule="auto" w:line="240" w:before="0" w:after="0"/>
        <w:jc w:val="left"/>
        <w:rPr>
          <w:sz w:val="24"/>
          <w:szCs w:val="24"/>
        </w:rPr>
      </w:pPr>
      <w:r>
        <w:rPr>
          <w:rFonts w:eastAsia="Times New Roman" w:cs="Arial" w:ascii="Algerian" w:hAnsi="Algerian"/>
          <w:bCs/>
          <w:sz w:val="24"/>
          <w:szCs w:val="24"/>
          <w:lang w:eastAsia="es-ES"/>
        </w:rPr>
        <w:t>Dra. Yaniris Ricardo González</w:t>
      </w:r>
    </w:p>
    <w:p>
      <w:pPr>
        <w:pStyle w:val="Normal"/>
        <w:spacing w:lineRule="auto" w:line="240" w:before="0" w:after="0"/>
        <w:jc w:val="left"/>
        <w:rPr>
          <w:sz w:val="24"/>
          <w:szCs w:val="24"/>
        </w:rPr>
      </w:pPr>
      <w:r>
        <w:rPr>
          <w:rFonts w:eastAsia="Times New Roman" w:cs="Arial" w:ascii="Algerian" w:hAnsi="Algerian"/>
          <w:bCs/>
          <w:sz w:val="24"/>
          <w:szCs w:val="24"/>
          <w:lang w:eastAsia="es-ES"/>
        </w:rPr>
        <w:t>Dra. Liliana Torres Pérez. Especialista de segundo Grado en Reumatología</w:t>
      </w:r>
    </w:p>
    <w:p>
      <w:pPr>
        <w:pStyle w:val="Normal"/>
        <w:spacing w:lineRule="auto" w:line="240" w:before="0" w:after="0"/>
        <w:jc w:val="center"/>
        <w:rPr>
          <w:rFonts w:ascii="Algerian" w:hAnsi="Algerian" w:eastAsia="Times New Roman" w:cs="Arial"/>
          <w:bCs/>
          <w:sz w:val="24"/>
          <w:szCs w:val="24"/>
          <w:lang w:eastAsia="es-ES"/>
        </w:rPr>
      </w:pPr>
      <w:r>
        <w:rPr>
          <w:rFonts w:eastAsia="Times New Roman" w:cs="Arial" w:ascii="Algerian" w:hAnsi="Algerian"/>
          <w:bCs/>
          <w:sz w:val="24"/>
          <w:szCs w:val="24"/>
          <w:lang w:eastAsia="es-ES"/>
        </w:rPr>
      </w:r>
    </w:p>
    <w:p>
      <w:pPr>
        <w:pStyle w:val="Normal"/>
        <w:spacing w:lineRule="auto" w:line="240" w:before="0" w:after="0"/>
        <w:jc w:val="center"/>
        <w:rPr>
          <w:rFonts w:ascii="Algerian" w:hAnsi="Algerian" w:eastAsia="Times New Roman" w:cs="Arial"/>
          <w:bCs/>
          <w:sz w:val="24"/>
          <w:szCs w:val="24"/>
          <w:lang w:eastAsia="es-ES"/>
        </w:rPr>
      </w:pPr>
      <w:r>
        <w:rPr>
          <w:rFonts w:eastAsia="Times New Roman" w:cs="Arial" w:ascii="Algerian" w:hAnsi="Algerian"/>
          <w:bCs/>
          <w:sz w:val="24"/>
          <w:szCs w:val="24"/>
          <w:lang w:eastAsia="es-ES"/>
        </w:rPr>
      </w:r>
    </w:p>
    <w:p>
      <w:pPr>
        <w:pStyle w:val="Normal"/>
        <w:spacing w:lineRule="auto" w:line="240" w:before="0" w:after="0"/>
        <w:jc w:val="center"/>
        <w:rPr>
          <w:rFonts w:ascii="Arial" w:hAnsi="Arial" w:eastAsia="Times New Roman" w:cs="Arial"/>
          <w:i/>
          <w:i/>
          <w:iCs/>
          <w:sz w:val="24"/>
          <w:szCs w:val="24"/>
          <w:lang w:eastAsia="es-ES"/>
        </w:rPr>
      </w:pPr>
      <w:r>
        <w:rPr>
          <w:rFonts w:eastAsia="Times New Roman" w:cs="Arial" w:ascii="Arial" w:hAnsi="Arial"/>
          <w:i/>
          <w:iCs/>
          <w:sz w:val="24"/>
          <w:szCs w:val="24"/>
          <w:lang w:eastAsia="es-ES"/>
        </w:rPr>
      </w:r>
    </w:p>
    <w:p>
      <w:pPr>
        <w:pStyle w:val="Normal"/>
        <w:spacing w:lineRule="auto" w:line="240" w:before="0" w:after="0"/>
        <w:jc w:val="center"/>
        <w:rPr>
          <w:rFonts w:ascii="Arial" w:hAnsi="Arial" w:eastAsia="Times New Roman" w:cs="Arial"/>
          <w:i/>
          <w:i/>
          <w:iCs/>
          <w:sz w:val="24"/>
          <w:szCs w:val="24"/>
          <w:lang w:eastAsia="es-ES"/>
        </w:rPr>
      </w:pPr>
      <w:r>
        <w:rPr>
          <w:rFonts w:eastAsia="Times New Roman" w:cs="Arial" w:ascii="Arial" w:hAnsi="Arial"/>
          <w:i/>
          <w:iCs/>
          <w:sz w:val="24"/>
          <w:szCs w:val="24"/>
          <w:lang w:eastAsia="es-ES"/>
        </w:rPr>
      </w:r>
    </w:p>
    <w:p>
      <w:pPr>
        <w:pStyle w:val="Normal"/>
        <w:spacing w:lineRule="auto" w:line="240" w:before="0" w:after="0"/>
        <w:jc w:val="center"/>
        <w:rPr>
          <w:rFonts w:ascii="Arial" w:hAnsi="Arial" w:eastAsia="Times New Roman" w:cs="Arial"/>
          <w:i/>
          <w:i/>
          <w:iCs/>
          <w:sz w:val="24"/>
          <w:szCs w:val="24"/>
          <w:lang w:eastAsia="es-ES"/>
        </w:rPr>
      </w:pPr>
      <w:r>
        <w:rPr>
          <w:rFonts w:eastAsia="Times New Roman" w:cs="Arial" w:ascii="Arial" w:hAnsi="Arial"/>
          <w:i/>
          <w:iCs/>
          <w:sz w:val="24"/>
          <w:szCs w:val="24"/>
          <w:lang w:eastAsia="es-ES"/>
        </w:rPr>
      </w:r>
    </w:p>
    <w:p>
      <w:pPr>
        <w:pStyle w:val="Normal"/>
        <w:spacing w:lineRule="auto" w:line="240" w:before="0" w:after="0"/>
        <w:jc w:val="center"/>
        <w:rPr>
          <w:rFonts w:ascii="Arial" w:hAnsi="Arial" w:eastAsia="Times New Roman" w:cs="Arial"/>
          <w:i/>
          <w:i/>
          <w:iCs/>
          <w:sz w:val="24"/>
          <w:szCs w:val="24"/>
          <w:lang w:eastAsia="es-ES"/>
        </w:rPr>
      </w:pPr>
      <w:r>
        <w:rPr>
          <w:rFonts w:eastAsia="Times New Roman" w:cs="Arial" w:ascii="Arial" w:hAnsi="Arial"/>
          <w:i/>
          <w:iCs/>
          <w:sz w:val="24"/>
          <w:szCs w:val="24"/>
          <w:lang w:eastAsia="es-ES"/>
        </w:rPr>
      </w:r>
    </w:p>
    <w:p>
      <w:pPr>
        <w:pStyle w:val="Normal"/>
        <w:spacing w:lineRule="auto" w:line="240" w:before="0" w:after="0"/>
        <w:jc w:val="center"/>
        <w:rPr>
          <w:rFonts w:ascii="Arial" w:hAnsi="Arial" w:eastAsia="Times New Roman" w:cs="Arial"/>
          <w:i/>
          <w:i/>
          <w:iCs/>
          <w:sz w:val="24"/>
          <w:szCs w:val="24"/>
          <w:lang w:eastAsia="es-ES"/>
        </w:rPr>
      </w:pPr>
      <w:r>
        <w:rPr>
          <w:rFonts w:eastAsia="Times New Roman" w:cs="Arial" w:ascii="Arial" w:hAnsi="Arial"/>
          <w:i/>
          <w:iCs/>
          <w:sz w:val="24"/>
          <w:szCs w:val="24"/>
          <w:lang w:eastAsia="es-ES"/>
        </w:rPr>
      </w:r>
    </w:p>
    <w:p>
      <w:pPr>
        <w:pStyle w:val="Normal"/>
        <w:spacing w:lineRule="auto" w:line="240" w:before="0" w:after="0"/>
        <w:jc w:val="center"/>
        <w:rPr>
          <w:rFonts w:ascii="Arial" w:hAnsi="Arial" w:eastAsia="Times New Roman" w:cs="Times New Roman"/>
          <w:i/>
          <w:i/>
          <w:iCs/>
          <w:sz w:val="24"/>
          <w:szCs w:val="24"/>
          <w:lang w:eastAsia="es-ES"/>
        </w:rPr>
      </w:pPr>
      <w:r>
        <w:rPr>
          <w:rFonts w:eastAsia="Times New Roman" w:cs="Times New Roman" w:ascii="Arial" w:hAnsi="Arial"/>
          <w:i/>
          <w:iCs/>
          <w:sz w:val="24"/>
          <w:szCs w:val="24"/>
          <w:lang w:eastAsia="es-ES"/>
        </w:rPr>
      </w:r>
    </w:p>
    <w:p>
      <w:pPr>
        <w:pStyle w:val="Normal"/>
        <w:spacing w:lineRule="auto" w:line="240" w:before="0" w:after="0"/>
        <w:jc w:val="center"/>
        <w:rPr>
          <w:rFonts w:ascii="Times New Roman" w:hAnsi="Times New Roman" w:eastAsia="Times New Roman" w:cs="Times New Roman"/>
          <w:b/>
          <w:b/>
          <w:i/>
          <w:i/>
          <w:iCs/>
          <w:sz w:val="28"/>
          <w:szCs w:val="28"/>
          <w:lang w:eastAsia="es-ES"/>
        </w:rPr>
      </w:pPr>
      <w:r>
        <w:rPr>
          <w:rFonts w:eastAsia="Times New Roman" w:cs="Times New Roman" w:ascii="Times New Roman" w:hAnsi="Times New Roman"/>
          <w:b/>
          <w:i/>
          <w:iCs/>
          <w:sz w:val="28"/>
          <w:szCs w:val="28"/>
          <w:lang w:eastAsia="es-ES"/>
        </w:rPr>
      </w:r>
    </w:p>
    <w:p>
      <w:pPr>
        <w:pStyle w:val="Normal"/>
        <w:spacing w:lineRule="auto" w:line="240" w:before="0" w:after="0"/>
        <w:rPr>
          <w:rFonts w:ascii="Algerian" w:hAnsi="Algerian" w:eastAsia="Times New Roman" w:cs="Times New Roman"/>
          <w:b/>
          <w:b/>
          <w:sz w:val="28"/>
          <w:szCs w:val="28"/>
          <w:lang w:eastAsia="es-ES"/>
        </w:rPr>
      </w:pPr>
      <w:r>
        <w:rPr/>
      </w:r>
    </w:p>
    <w:p>
      <w:pPr>
        <w:pStyle w:val="Normal"/>
        <w:spacing w:lineRule="auto" w:line="240" w:before="0" w:after="0"/>
        <w:rPr>
          <w:rFonts w:ascii="Arial" w:hAnsi="Arial" w:eastAsia="Times New Roman" w:cs="Times New Roman"/>
          <w:i/>
          <w:i/>
          <w:iCs/>
          <w:sz w:val="24"/>
          <w:szCs w:val="24"/>
          <w:lang w:eastAsia="es-ES"/>
        </w:rPr>
      </w:pPr>
      <w:r>
        <w:rPr>
          <w:rFonts w:eastAsia="Times New Roman" w:cs="Times New Roman" w:ascii="Arial" w:hAnsi="Arial"/>
          <w:i/>
          <w:iCs/>
          <w:sz w:val="24"/>
          <w:szCs w:val="24"/>
          <w:lang w:eastAsia="es-ES"/>
        </w:rPr>
      </w:r>
    </w:p>
    <w:p>
      <w:pPr>
        <w:pStyle w:val="Normal"/>
        <w:spacing w:lineRule="auto" w:line="240" w:before="0" w:after="0"/>
        <w:rPr>
          <w:rFonts w:ascii="Arial" w:hAnsi="Arial" w:eastAsia="Times New Roman" w:cs="Times New Roman"/>
          <w:i/>
          <w:i/>
          <w:iCs/>
          <w:sz w:val="24"/>
          <w:szCs w:val="24"/>
          <w:lang w:eastAsia="es-ES"/>
        </w:rPr>
      </w:pPr>
      <w:r>
        <w:rPr>
          <w:rFonts w:eastAsia="Times New Roman" w:cs="Times New Roman" w:ascii="Arial" w:hAnsi="Arial"/>
          <w:i/>
          <w:iCs/>
          <w:sz w:val="24"/>
          <w:szCs w:val="24"/>
          <w:lang w:eastAsia="es-ES"/>
        </w:rPr>
      </w:r>
    </w:p>
    <w:p>
      <w:pPr>
        <w:pStyle w:val="Normal"/>
        <w:spacing w:lineRule="auto" w:line="240" w:before="0" w:after="0"/>
        <w:rPr>
          <w:rFonts w:ascii="Arial" w:hAnsi="Arial" w:eastAsia="Times New Roman" w:cs="Times New Roman"/>
          <w:i/>
          <w:i/>
          <w:iCs/>
          <w:sz w:val="24"/>
          <w:szCs w:val="24"/>
          <w:lang w:eastAsia="es-ES"/>
        </w:rPr>
      </w:pPr>
      <w:r>
        <w:rPr>
          <w:rFonts w:eastAsia="Times New Roman" w:cs="Times New Roman" w:ascii="Arial" w:hAnsi="Arial"/>
          <w:i/>
          <w:iCs/>
          <w:sz w:val="24"/>
          <w:szCs w:val="24"/>
          <w:lang w:eastAsia="es-ES"/>
        </w:rPr>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Fonts w:cs="Arial" w:ascii="Arial" w:hAnsi="Arial"/>
          <w:b/>
          <w:bCs/>
          <w:sz w:val="24"/>
          <w:szCs w:val="24"/>
        </w:rPr>
      </w:r>
    </w:p>
    <w:p>
      <w:pPr>
        <w:pStyle w:val="Normal"/>
        <w:rPr>
          <w:rFonts w:ascii="Arial" w:hAnsi="Arial" w:cs="Arial"/>
          <w:b/>
          <w:b/>
          <w:bCs/>
          <w:sz w:val="24"/>
          <w:szCs w:val="24"/>
        </w:rPr>
      </w:pPr>
      <w:r>
        <w:rPr/>
      </w:r>
    </w:p>
    <w:p>
      <w:pPr>
        <w:pStyle w:val="Normal"/>
        <w:rPr>
          <w:rFonts w:ascii="Arial" w:hAnsi="Arial" w:cs="Arial"/>
          <w:b/>
          <w:b/>
          <w:bCs/>
          <w:sz w:val="24"/>
          <w:szCs w:val="24"/>
        </w:rPr>
      </w:pPr>
      <w:r>
        <w:rPr/>
      </w:r>
    </w:p>
    <w:p>
      <w:pPr>
        <w:pStyle w:val="Normal"/>
        <w:rPr>
          <w:rFonts w:ascii="Arial" w:hAnsi="Arial" w:cs="Arial"/>
          <w:b/>
          <w:b/>
          <w:bCs/>
          <w:sz w:val="24"/>
          <w:szCs w:val="24"/>
        </w:rPr>
      </w:pPr>
      <w:r>
        <w:rPr/>
      </w:r>
    </w:p>
    <w:p>
      <w:pPr>
        <w:pStyle w:val="Normal"/>
        <w:rPr>
          <w:rFonts w:ascii="Arial" w:hAnsi="Arial" w:cs="Arial"/>
          <w:b/>
          <w:b/>
          <w:bCs/>
          <w:sz w:val="24"/>
          <w:szCs w:val="24"/>
        </w:rPr>
      </w:pPr>
      <w:r>
        <w:rPr/>
      </w:r>
    </w:p>
    <w:p>
      <w:pPr>
        <w:pStyle w:val="Normal"/>
        <w:rPr>
          <w:rFonts w:ascii="Arial" w:hAnsi="Arial" w:cs="Arial"/>
          <w:b/>
          <w:b/>
          <w:bCs/>
          <w:sz w:val="24"/>
          <w:szCs w:val="24"/>
        </w:rPr>
      </w:pPr>
      <w:r>
        <w:rPr/>
      </w:r>
    </w:p>
    <w:p>
      <w:pPr>
        <w:pStyle w:val="Normal"/>
        <w:jc w:val="both"/>
        <w:rPr/>
      </w:pPr>
      <w:r>
        <w:rPr>
          <w:rFonts w:cs="Arial" w:ascii="Arial" w:hAnsi="Arial"/>
          <w:b/>
          <w:bCs/>
          <w:sz w:val="24"/>
          <w:szCs w:val="24"/>
        </w:rPr>
        <w:t>Resumen</w:t>
      </w:r>
    </w:p>
    <w:p>
      <w:pPr>
        <w:pStyle w:val="Normal"/>
        <w:jc w:val="both"/>
        <w:rPr/>
      </w:pPr>
      <w:r>
        <w:rPr>
          <w:rFonts w:cs="Arial" w:ascii="Arial" w:hAnsi="Arial"/>
          <w:sz w:val="24"/>
          <w:szCs w:val="24"/>
        </w:rPr>
        <w:t xml:space="preserve"> </w:t>
      </w:r>
      <w:r>
        <w:rPr>
          <w:rFonts w:cs="Arial" w:ascii="Arial" w:hAnsi="Arial"/>
          <w:sz w:val="24"/>
          <w:szCs w:val="24"/>
        </w:rPr>
        <w:t>Introducción: El Lupus Eritematoso Sistémico (LES), es una enfermedad autoinmune caracterizada por una inflamación sistémica crónica. Las principales causas de muerte   son las infecciones y la actividad de la enfermedad en los primeros 5 años y a los 5 a 10 años son las complicaciones cardiovasculares y la acumulación de daño de órgano.</w:t>
      </w:r>
    </w:p>
    <w:p>
      <w:pPr>
        <w:pStyle w:val="Normal"/>
        <w:jc w:val="both"/>
        <w:rPr/>
      </w:pPr>
      <w:r>
        <w:rPr>
          <w:rFonts w:cs="Arial" w:ascii="Arial" w:hAnsi="Arial"/>
          <w:sz w:val="24"/>
          <w:szCs w:val="24"/>
        </w:rPr>
        <w:t xml:space="preserve"> </w:t>
      </w:r>
      <w:r>
        <w:rPr>
          <w:rFonts w:cs="Arial" w:ascii="Arial" w:hAnsi="Arial"/>
          <w:sz w:val="24"/>
          <w:szCs w:val="24"/>
        </w:rPr>
        <w:t>Objetivo: Determinar la mortalidad y las causas de muerte en pacientes adultos con diagnóstico de LES internados en el Servicio de Reumatología   del Hospital Clínico Quirúrgico Lucía Íñiguez Landín   en el periodo enero 2017-diciembre 2021.</w:t>
      </w:r>
    </w:p>
    <w:p>
      <w:pPr>
        <w:pStyle w:val="Normal"/>
        <w:jc w:val="both"/>
        <w:rPr/>
      </w:pPr>
      <w:r>
        <w:rPr>
          <w:rFonts w:cs="Arial" w:ascii="Arial" w:hAnsi="Arial"/>
          <w:sz w:val="24"/>
          <w:szCs w:val="24"/>
        </w:rPr>
        <w:t xml:space="preserve"> </w:t>
      </w:r>
      <w:r>
        <w:rPr>
          <w:rFonts w:cs="Arial" w:ascii="Arial" w:hAnsi="Arial"/>
          <w:sz w:val="24"/>
          <w:szCs w:val="24"/>
        </w:rPr>
        <w:t>Material y métodos: Estudio observacional retrospectivo de corte trasverso de pacientes adultos internados en el servicio de Reumatología en el Hospital Clínico Quirúrgico Lucia Iñiguez Landín, en el periodo 2017-2021. De 197 pacientes adultos con LES internados, fallecieron 29 pacientes, fueron excluidos 30 pacientes por presentar estudios incompletos y 12 pacientes por presentar tiempo de evolución de la enfermedad mayor de 10 años. Para la descripción fueron incluidos 155 pacientes. Las variables analizadas fueron las demográficas, clínicas y las causas de mortalidad. Los datos fueron analizados con estadística descriptiva; se utilizaron frecuencias y proporciones para las variables cualitativas, medias y desvió estándar para las continuas.</w:t>
      </w:r>
    </w:p>
    <w:p>
      <w:pPr>
        <w:pStyle w:val="Normal"/>
        <w:spacing w:lineRule="auto" w:line="271" w:before="0" w:after="245"/>
        <w:ind w:right="36" w:hanging="0"/>
        <w:jc w:val="both"/>
        <w:rPr/>
      </w:pPr>
      <w:r>
        <w:rPr>
          <w:rFonts w:cs="Arial" w:ascii="Arial" w:hAnsi="Arial"/>
          <w:sz w:val="24"/>
          <w:szCs w:val="24"/>
        </w:rPr>
        <w:t xml:space="preserve">De los 155 pacientes analizados, 132 eran mujeres el 85.2% % y 23 eran varones (14.8 %). La edad media fue de </w:t>
      </w:r>
      <w:r>
        <w:rPr>
          <w:rFonts w:cs="Arial" w:ascii="Arial" w:hAnsi="Arial"/>
          <w:color w:val="000000" w:themeColor="text1"/>
          <w:sz w:val="24"/>
          <w:szCs w:val="24"/>
        </w:rPr>
        <w:t>35 ±15,5 (22-61</w:t>
      </w:r>
      <w:r>
        <w:rPr>
          <w:rFonts w:cs="Arial" w:ascii="Arial" w:hAnsi="Arial"/>
          <w:sz w:val="24"/>
          <w:szCs w:val="24"/>
        </w:rPr>
        <w:t>) años. El 62.5</w:t>
      </w:r>
      <w:r>
        <w:rPr>
          <w:rFonts w:cs="Arial" w:ascii="Arial" w:hAnsi="Arial"/>
          <w:color w:val="FF0000"/>
          <w:sz w:val="24"/>
          <w:szCs w:val="24"/>
        </w:rPr>
        <w:t xml:space="preserve"> </w:t>
      </w:r>
      <w:r>
        <w:rPr>
          <w:rFonts w:cs="Arial" w:ascii="Arial" w:hAnsi="Arial"/>
          <w:sz w:val="24"/>
          <w:szCs w:val="24"/>
        </w:rPr>
        <w:t xml:space="preserve">% de los pacientes tenían una duración de la enfermedad entre 1 y 5 años. Eran pacientes conocidos con el diagnóstico de LES en seguimiento el 90.3% de los pacientes. En relación a las manifestaciones clínicas, el 31.6 % presentaba nefritis lúpica, seguida por pleuritis con 20%, </w:t>
      </w:r>
      <w:r>
        <w:rPr>
          <w:rFonts w:eastAsia="Arial" w:cs="Arial" w:ascii="Arial" w:hAnsi="Arial"/>
          <w:color w:val="181717"/>
          <w:sz w:val="24"/>
          <w:szCs w:val="24"/>
          <w:lang w:eastAsia="es-ES"/>
        </w:rPr>
        <w:t>derrame pericárdico con un 10.9 % ascitis, 9.6%, miocarditis, 7.9%, neumonitis,5.1%, neurolupus, 4.5% y vasculitis de SNC 3.2 %.</w:t>
      </w:r>
      <w:r>
        <w:rPr>
          <w:rFonts w:eastAsia="Calibri" w:cs="Arial" w:ascii="Arial" w:hAnsi="Arial"/>
          <w:color w:val="000000"/>
          <w:sz w:val="24"/>
          <w:szCs w:val="24"/>
          <w:lang w:eastAsia="es-ES"/>
        </w:rPr>
        <w:t xml:space="preserve"> </w:t>
      </w:r>
      <w:r>
        <w:rPr>
          <w:rFonts w:cs="Arial" w:ascii="Arial" w:hAnsi="Arial"/>
          <w:sz w:val="24"/>
          <w:szCs w:val="24"/>
        </w:rPr>
        <w:t>Entre los procesos infecciosos registrados se constató la ITU 20.6 %, neumonía nosocomial (7.7%), neumonía de la comunidad (4.5%) y la fascitis necrotizante 3.2%. Las causas principales de muerte fueron la actividad de la enfermedad con un 12.9 %, donde predominaron la nefritis lúpica representando un 9.6% y el edema agudo del pulmón el 3.2 %, seguida por las causas infecciosas (5.8%) y por otras causas no relacionadas con el lupus (0.6</w:t>
      </w:r>
      <w:r>
        <w:rPr>
          <w:rFonts w:cs="Arial" w:ascii="Arial" w:hAnsi="Arial"/>
          <w:color w:val="000000" w:themeColor="text1"/>
          <w:sz w:val="24"/>
          <w:szCs w:val="24"/>
        </w:rPr>
        <w:t>%)</w:t>
      </w:r>
      <w:r>
        <w:rPr>
          <w:rFonts w:cs="Arial" w:ascii="Arial" w:hAnsi="Arial"/>
          <w:sz w:val="24"/>
          <w:szCs w:val="24"/>
        </w:rPr>
        <w:t>. Recibieron corticoides (100%), antimicrobianos el 41.9% e inmunosupresores (7.7</w:t>
      </w:r>
      <w:r>
        <w:rPr>
          <w:rFonts w:cs="Arial" w:ascii="Arial" w:hAnsi="Arial"/>
          <w:color w:val="000000" w:themeColor="text1"/>
          <w:sz w:val="24"/>
          <w:szCs w:val="24"/>
        </w:rPr>
        <w:t>%</w:t>
      </w:r>
      <w:r>
        <w:rPr>
          <w:rFonts w:cs="Arial" w:ascii="Arial" w:hAnsi="Arial"/>
          <w:sz w:val="24"/>
          <w:szCs w:val="24"/>
        </w:rPr>
        <w:t xml:space="preserve">). Conclusión: La mortalidad fue </w:t>
      </w:r>
      <w:r>
        <w:rPr>
          <w:rFonts w:cs="Arial" w:ascii="Arial" w:hAnsi="Arial"/>
          <w:color w:val="000000" w:themeColor="text1"/>
          <w:sz w:val="24"/>
          <w:szCs w:val="24"/>
        </w:rPr>
        <w:t xml:space="preserve">del 18.7%, las principales causas de muerte </w:t>
      </w:r>
      <w:r>
        <w:rPr>
          <w:rFonts w:cs="Arial" w:ascii="Arial" w:hAnsi="Arial"/>
          <w:sz w:val="24"/>
          <w:szCs w:val="24"/>
        </w:rPr>
        <w:t>fueron la actividad de la enfermedad, seguida por las infecciones.</w:t>
      </w:r>
    </w:p>
    <w:p>
      <w:pPr>
        <w:pStyle w:val="Normal"/>
        <w:spacing w:lineRule="auto" w:line="237" w:before="0" w:after="5370"/>
        <w:ind w:left="4" w:right="364" w:hanging="0"/>
        <w:jc w:val="both"/>
        <w:rPr/>
      </w:pPr>
      <w:r>
        <w:rPr>
          <w:rFonts w:eastAsia="Arial" w:cs="Arial" w:ascii="Arial" w:hAnsi="Arial"/>
          <w:b/>
          <w:color w:val="181717"/>
          <w:sz w:val="18"/>
          <w:szCs w:val="18"/>
          <w:lang w:eastAsia="es-ES"/>
        </w:rPr>
        <w:t xml:space="preserve">Palabras claves: </w:t>
      </w:r>
      <w:r>
        <w:rPr>
          <w:rFonts w:eastAsia="Arial" w:cs="Arial" w:ascii="Arial" w:hAnsi="Arial"/>
          <w:color w:val="181717"/>
          <w:sz w:val="18"/>
          <w:szCs w:val="18"/>
          <w:lang w:eastAsia="es-ES"/>
        </w:rPr>
        <w:t>Lupus eritematoso sistémico, comorbilidad, mortalidad</w:t>
      </w:r>
    </w:p>
    <w:p>
      <w:pPr>
        <w:pStyle w:val="Normal"/>
        <w:spacing w:lineRule="auto" w:line="237" w:before="0" w:after="5370"/>
        <w:ind w:left="4" w:right="364" w:hanging="0"/>
        <w:jc w:val="both"/>
        <w:rPr/>
      </w:pPr>
      <w:r>
        <w:rPr>
          <w:rFonts w:cs="Arial" w:ascii="Arial" w:hAnsi="Arial"/>
          <w:b/>
          <w:bCs/>
          <w:sz w:val="28"/>
          <w:szCs w:val="28"/>
        </w:rPr>
        <w:t>Introducción</w:t>
      </w:r>
      <w:r>
        <w:rPr>
          <w:rFonts w:cs="Arial" w:ascii="Arial" w:hAnsi="Arial"/>
          <w:sz w:val="28"/>
          <w:szCs w:val="28"/>
        </w:rPr>
        <w:t xml:space="preserve">: </w:t>
      </w:r>
    </w:p>
    <w:p>
      <w:pPr>
        <w:pStyle w:val="Normal"/>
        <w:jc w:val="both"/>
        <w:rPr/>
      </w:pPr>
      <w:r>
        <w:rPr>
          <w:rFonts w:cs="Arial" w:ascii="Arial" w:hAnsi="Arial"/>
          <w:sz w:val="24"/>
          <w:szCs w:val="24"/>
        </w:rPr>
        <w:t>El Lupus Eritematoso Sistémico, es una enfermedad autoinmune caracterizada por una inflamación sistémica crónica. Clínicamente se presenta con periodos de brotes y remisión1,2. La actividad de la enfermedad puede ser leve o presentarse con formas severas que pueden comprometer la vida del paciente1. La esperanza de vida de los pacientes con LES ha cambiado en los últimos años, con una de sobrevida del 95% en los países desarrollados, sin embargo, en los países en vías de desarrollo, la mortalidad sigue siendo elevada1.3.</w:t>
      </w:r>
    </w:p>
    <w:p>
      <w:pPr>
        <w:pStyle w:val="Normal"/>
        <w:jc w:val="both"/>
        <w:rPr/>
      </w:pPr>
      <w:r>
        <w:rPr>
          <w:rFonts w:cs="Arial" w:ascii="Arial" w:hAnsi="Arial"/>
          <w:sz w:val="24"/>
          <w:szCs w:val="24"/>
        </w:rPr>
        <w:t>Según el estudio, la actividad de la enfermedad fue la principal causa de muerte seguida de las infecciones.</w:t>
      </w:r>
    </w:p>
    <w:p>
      <w:pPr>
        <w:pStyle w:val="Normal"/>
        <w:jc w:val="both"/>
        <w:rPr/>
      </w:pPr>
      <w:r>
        <w:rPr>
          <w:rFonts w:cs="Arial" w:ascii="Arial" w:hAnsi="Arial"/>
          <w:sz w:val="24"/>
          <w:szCs w:val="24"/>
        </w:rPr>
        <w:t xml:space="preserve"> </w:t>
      </w:r>
      <w:r>
        <w:rPr>
          <w:rFonts w:cs="Arial" w:ascii="Arial" w:hAnsi="Arial"/>
          <w:sz w:val="24"/>
          <w:szCs w:val="24"/>
        </w:rPr>
        <w:t>A pesar de la mejoría en la sobrevida de los pacientes con LES, la mortalidad continúa siendo mayor que la población general5-10. Las causas de muerte en los primeros 5 años del diagnóstico están relacionadas con los procesos infecciosos y con la actividad de la enfermedad, después de ese periodo las complicaciones cardiovasculares y el daño de órgano propio del LES se constituyen en las principales causas. Un 10 al 25% de los pacientes fallecen después de los 10 años del diagnóstico10-13.</w:t>
      </w:r>
    </w:p>
    <w:p>
      <w:pPr>
        <w:pStyle w:val="Normal"/>
        <w:jc w:val="both"/>
        <w:rPr/>
      </w:pPr>
      <w:r>
        <w:rPr>
          <w:rFonts w:cs="Arial" w:ascii="Arial" w:hAnsi="Arial"/>
          <w:sz w:val="24"/>
          <w:szCs w:val="24"/>
        </w:rPr>
        <w:t xml:space="preserve"> </w:t>
      </w:r>
      <w:r>
        <w:rPr>
          <w:rFonts w:cs="Arial" w:ascii="Arial" w:hAnsi="Arial"/>
          <w:sz w:val="24"/>
          <w:szCs w:val="24"/>
        </w:rPr>
        <w:t>Otras causas que favorecen la morbimortalidad en los pacientes con LES, son el bajo nivel educativo y socioeconómico; la falta de acceso a los servicios de salud y el escaso apoyo psicosocial1. El LES está asociado con la acumulación progresiva de daño orgánico irreversible, lo cual ha demostrado ser también un predictor de mayor morbilidad y mortalidad temprana1. El objetivo de este estudio es determinar las principales causas de mortalidad en pacientes con LES internados en el Servicio de Reumatología del Hospital Clínico Quirúrgico Lucía Iñiguez Landín el periodo de enero de 2017-diciembre 2021.</w:t>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pPr>
      <w:r>
        <w:rPr>
          <w:rFonts w:cs="Arial" w:ascii="Arial" w:hAnsi="Arial"/>
          <w:b/>
          <w:bCs/>
          <w:sz w:val="24"/>
          <w:szCs w:val="24"/>
        </w:rPr>
        <w:t>Material y métodos</w:t>
      </w:r>
      <w:r>
        <w:rPr>
          <w:rFonts w:cs="Arial" w:ascii="Arial" w:hAnsi="Arial"/>
          <w:sz w:val="24"/>
          <w:szCs w:val="24"/>
        </w:rPr>
        <w:t>:</w:t>
      </w:r>
    </w:p>
    <w:p>
      <w:pPr>
        <w:pStyle w:val="Normal"/>
        <w:jc w:val="both"/>
        <w:rPr/>
      </w:pPr>
      <w:r>
        <w:rPr>
          <w:rFonts w:cs="Arial" w:ascii="Arial" w:hAnsi="Arial"/>
          <w:sz w:val="24"/>
          <w:szCs w:val="24"/>
        </w:rPr>
        <w:t xml:space="preserve">Se realizó un estudio descriptivo observacional retrospectivo de corte trasverso de pacientes adultos de ambos sexos internados en el </w:t>
      </w:r>
      <w:bookmarkStart w:id="2" w:name="_Hlk102360684"/>
      <w:r>
        <w:rPr>
          <w:rFonts w:cs="Arial" w:ascii="Arial" w:hAnsi="Arial"/>
          <w:sz w:val="24"/>
          <w:szCs w:val="24"/>
        </w:rPr>
        <w:t>Servicio de Reumatología del Hospital Clínico Quirúrgico Lucía Iñiguez Landín en el periodo enero 2017- diciembre 2021</w:t>
      </w:r>
      <w:bookmarkEnd w:id="2"/>
      <w:r>
        <w:rPr>
          <w:rFonts w:cs="Arial" w:ascii="Arial" w:hAnsi="Arial"/>
          <w:sz w:val="24"/>
          <w:szCs w:val="24"/>
        </w:rPr>
        <w:t>. De 200 pacientes adultos con lupus eritematoso sistémico, internados en el Servicio de Reumatología en el periodo 2017-2021, fallecieron 29</w:t>
      </w:r>
      <w:r>
        <w:rPr>
          <w:rFonts w:cs="Arial" w:ascii="Arial" w:hAnsi="Arial"/>
          <w:color w:val="FF0000"/>
          <w:sz w:val="24"/>
          <w:szCs w:val="24"/>
        </w:rPr>
        <w:t xml:space="preserve"> </w:t>
      </w:r>
      <w:r>
        <w:rPr>
          <w:rFonts w:cs="Arial" w:ascii="Arial" w:hAnsi="Arial"/>
          <w:sz w:val="24"/>
          <w:szCs w:val="24"/>
        </w:rPr>
        <w:t>pacientes, fueron excluidos 30 pacientes por historias clínicas   incompletas y 12 pacientes por presentar tiempo de evolución de la enfermedad mayor de 10 años. Fueron incluidos 155 pacientes. Las variables analizadas fueron edad, sexo, las manifestaciones clínicas, el tratamiento realizado y las causas de muerte. Los datos se registraron en una planilla electrónica Microsoft EXCEL, utilizando estadística descriptiva. Los resultados se expresaron en forma de proporciones para las variables cualitativas y como media y desviación estándar para las continuas.</w:t>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rFonts w:ascii="Arial" w:hAnsi="Arial" w:cs="Arial"/>
          <w:b/>
          <w:b/>
          <w:bCs/>
          <w:sz w:val="24"/>
          <w:szCs w:val="24"/>
        </w:rPr>
      </w:pPr>
      <w:r>
        <w:rPr>
          <w:rFonts w:cs="Arial" w:ascii="Arial" w:hAnsi="Arial"/>
          <w:b/>
          <w:bCs/>
          <w:sz w:val="24"/>
          <w:szCs w:val="24"/>
        </w:rPr>
      </w:r>
    </w:p>
    <w:p>
      <w:pPr>
        <w:pStyle w:val="Normal"/>
        <w:jc w:val="both"/>
        <w:rPr/>
      </w:pPr>
      <w:r>
        <w:rPr>
          <w:rFonts w:cs="Arial" w:ascii="Arial" w:hAnsi="Arial"/>
          <w:b/>
          <w:bCs/>
          <w:sz w:val="24"/>
          <w:szCs w:val="24"/>
        </w:rPr>
        <w:t>Resultados</w:t>
      </w:r>
      <w:r>
        <w:rPr>
          <w:rFonts w:cs="Arial" w:ascii="Arial" w:hAnsi="Arial"/>
          <w:sz w:val="24"/>
          <w:szCs w:val="24"/>
        </w:rPr>
        <w:t>:</w:t>
      </w:r>
    </w:p>
    <w:p>
      <w:pPr>
        <w:pStyle w:val="Normal"/>
        <w:jc w:val="both"/>
        <w:rPr/>
      </w:pPr>
      <w:r>
        <w:rPr>
          <w:rFonts w:cs="Arial" w:ascii="Arial" w:hAnsi="Arial"/>
          <w:sz w:val="24"/>
          <w:szCs w:val="24"/>
        </w:rPr>
        <w:t xml:space="preserve"> </w:t>
      </w:r>
      <w:r>
        <w:rPr>
          <w:rFonts w:cs="Arial" w:ascii="Arial" w:hAnsi="Arial"/>
          <w:sz w:val="24"/>
          <w:szCs w:val="24"/>
        </w:rPr>
        <w:t>197 pacientes adultos con el diagnóstico de lupus eritematoso sistémico, fueron internados en el servicio de Reumatología del Hospital Clínico Quirúrgico Lucia Iñiguez Landín en el periodo de enero 2017 a diciembre de 2021, fallecieron 29</w:t>
      </w:r>
      <w:r>
        <w:rPr>
          <w:rFonts w:cs="Arial" w:ascii="Arial" w:hAnsi="Arial"/>
          <w:color w:val="FF0000"/>
          <w:sz w:val="24"/>
          <w:szCs w:val="24"/>
        </w:rPr>
        <w:t xml:space="preserve"> </w:t>
      </w:r>
      <w:r>
        <w:rPr>
          <w:rFonts w:cs="Arial" w:ascii="Arial" w:hAnsi="Arial"/>
          <w:sz w:val="24"/>
          <w:szCs w:val="24"/>
        </w:rPr>
        <w:t xml:space="preserve">pacientes (18.7%). Fueron excluidos 30 pacientes por falta de datos. </w:t>
      </w:r>
    </w:p>
    <w:p>
      <w:pPr>
        <w:pStyle w:val="Normal"/>
        <w:spacing w:lineRule="auto" w:line="271" w:before="0" w:after="245"/>
        <w:ind w:left="23" w:right="36" w:hanging="10"/>
        <w:jc w:val="both"/>
        <w:rPr>
          <w:rFonts w:ascii="Arial" w:hAnsi="Arial" w:eastAsia="Calibri" w:cs="Arial"/>
          <w:color w:val="000000"/>
          <w:sz w:val="24"/>
          <w:szCs w:val="24"/>
          <w:lang w:eastAsia="es-ES"/>
        </w:rPr>
      </w:pPr>
      <w:r>
        <w:rPr>
          <w:rFonts w:cs="Arial" w:ascii="Arial" w:hAnsi="Arial"/>
          <w:sz w:val="24"/>
          <w:szCs w:val="24"/>
        </w:rPr>
        <w:t xml:space="preserve"> </w:t>
      </w:r>
      <w:r>
        <w:rPr>
          <w:rFonts w:cs="Arial" w:ascii="Arial" w:hAnsi="Arial"/>
          <w:sz w:val="24"/>
          <w:szCs w:val="24"/>
        </w:rPr>
        <w:t xml:space="preserve">Fueron estudiados finalmente 155 pacientes. Eran en su mayoría mujeres (85.2%), con una edad media en el momento del fallecimiento de 35±15,5 (18-77). Tenían una duración de la enfermedad entre 1 y 5 años el 62.5% de los pacientes. Eran pacientes conocidos con el diagnóstico de LES en seguimiento el 90.3% de los pacientes y el (9.7%) debutaron con la enfermedad. Presentaron </w:t>
      </w:r>
      <w:r>
        <w:rPr>
          <w:rFonts w:eastAsia="Arial" w:cs="Arial" w:ascii="Arial" w:hAnsi="Arial"/>
          <w:color w:val="181717"/>
          <w:sz w:val="24"/>
          <w:szCs w:val="24"/>
          <w:lang w:eastAsia="es-ES"/>
        </w:rPr>
        <w:t>actividad elevada de la enfermedad   el 94.1% de los pacientes. (Ver tabla 1)</w:t>
      </w:r>
    </w:p>
    <w:p>
      <w:pPr>
        <w:pStyle w:val="Normal"/>
        <w:rPr>
          <w:rFonts w:ascii="Arial" w:hAnsi="Arial" w:cs="Arial"/>
          <w:sz w:val="24"/>
          <w:szCs w:val="24"/>
        </w:rPr>
      </w:pPr>
      <w:r>
        <w:rPr>
          <w:rFonts w:cs="Arial" w:ascii="Arial" w:hAnsi="Arial"/>
          <w:sz w:val="24"/>
          <w:szCs w:val="24"/>
        </w:rPr>
      </w:r>
    </w:p>
    <w:p>
      <w:pPr>
        <w:pStyle w:val="Normal"/>
        <w:rPr>
          <w:rFonts w:ascii="Arial" w:hAnsi="Arial" w:cs="Arial"/>
          <w:b/>
          <w:b/>
          <w:bCs/>
          <w:sz w:val="24"/>
          <w:szCs w:val="24"/>
        </w:rPr>
      </w:pPr>
      <w:r>
        <w:rPr>
          <w:rFonts w:cs="Arial" w:ascii="Arial" w:hAnsi="Arial"/>
          <w:b/>
          <w:bCs/>
          <w:sz w:val="24"/>
          <w:szCs w:val="24"/>
        </w:rPr>
        <w:t>Tabla 1. Caracterización de los pacientes.</w:t>
      </w:r>
    </w:p>
    <w:tbl>
      <w:tblPr>
        <w:tblStyle w:val="TableGrid"/>
        <w:tblW w:w="8665" w:type="dxa"/>
        <w:jc w:val="left"/>
        <w:tblInd w:w="28" w:type="dxa"/>
        <w:tblLayout w:type="fixed"/>
        <w:tblCellMar>
          <w:top w:w="23" w:type="dxa"/>
          <w:left w:w="0" w:type="dxa"/>
          <w:bottom w:w="0" w:type="dxa"/>
          <w:right w:w="65" w:type="dxa"/>
        </w:tblCellMar>
        <w:tblLook w:val="04a0" w:noHBand="0" w:noVBand="1" w:firstColumn="1" w:lastRow="0" w:lastColumn="0" w:firstRow="1"/>
      </w:tblPr>
      <w:tblGrid>
        <w:gridCol w:w="3809"/>
        <w:gridCol w:w="2467"/>
        <w:gridCol w:w="2389"/>
      </w:tblGrid>
      <w:tr>
        <w:trPr>
          <w:trHeight w:val="291" w:hRule="atLeast"/>
        </w:trPr>
        <w:tc>
          <w:tcPr>
            <w:tcW w:w="3809" w:type="dxa"/>
            <w:tcBorders>
              <w:top w:val="single" w:sz="8" w:space="0" w:color="181717"/>
              <w:bottom w:val="single" w:sz="8" w:space="0" w:color="181717"/>
              <w:right w:val="single" w:sz="2" w:space="0" w:color="181717"/>
            </w:tcBorders>
            <w:shd w:color="auto" w:fill="auto" w:val="clear"/>
          </w:tcPr>
          <w:p>
            <w:pPr>
              <w:pStyle w:val="Normal"/>
              <w:widowControl/>
              <w:spacing w:lineRule="auto" w:line="259" w:before="0" w:after="160"/>
              <w:ind w:right="14" w:hanging="0"/>
              <w:jc w:val="left"/>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Variables</w:t>
            </w:r>
          </w:p>
        </w:tc>
        <w:tc>
          <w:tcPr>
            <w:tcW w:w="2467" w:type="dxa"/>
            <w:tcBorders>
              <w:top w:val="single" w:sz="8" w:space="0" w:color="181717"/>
              <w:left w:val="single" w:sz="2" w:space="0" w:color="181717"/>
              <w:bottom w:val="single" w:sz="8"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Frecuencia</w:t>
            </w:r>
          </w:p>
        </w:tc>
        <w:tc>
          <w:tcPr>
            <w:tcW w:w="2389" w:type="dxa"/>
            <w:tcBorders>
              <w:top w:val="single" w:sz="8" w:space="0" w:color="181717"/>
              <w:left w:val="single" w:sz="2" w:space="0" w:color="181717"/>
              <w:bottom w:val="single" w:sz="8" w:space="0" w:color="181717"/>
            </w:tcBorders>
            <w:shd w:color="auto" w:fill="auto" w:val="clear"/>
          </w:tcPr>
          <w:p>
            <w:pPr>
              <w:pStyle w:val="Normal"/>
              <w:widowControl/>
              <w:spacing w:lineRule="auto" w:line="259" w:before="0" w:after="160"/>
              <w:ind w:left="114" w:hanging="0"/>
              <w:jc w:val="center"/>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Porcentaje</w:t>
            </w:r>
          </w:p>
        </w:tc>
      </w:tr>
      <w:tr>
        <w:trPr>
          <w:trHeight w:val="211" w:hRule="atLeast"/>
        </w:trPr>
        <w:tc>
          <w:tcPr>
            <w:tcW w:w="3809" w:type="dxa"/>
            <w:tcBorders>
              <w:top w:val="single" w:sz="8" w:space="0" w:color="181717"/>
              <w:bottom w:val="single" w:sz="2" w:space="0" w:color="181717"/>
              <w:right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sexo</w:t>
            </w:r>
          </w:p>
        </w:tc>
        <w:tc>
          <w:tcPr>
            <w:tcW w:w="2467" w:type="dxa"/>
            <w:tcBorders>
              <w:top w:val="single" w:sz="8"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Calibri" w:cs="Arial" w:ascii="Arial" w:hAnsi="Arial"/>
                <w:color w:val="000000"/>
                <w:kern w:val="0"/>
                <w:sz w:val="22"/>
                <w:szCs w:val="22"/>
                <w:lang w:val="es-ES" w:eastAsia="es-ES" w:bidi="ar-SA"/>
              </w:rPr>
            </w:r>
          </w:p>
        </w:tc>
        <w:tc>
          <w:tcPr>
            <w:tcW w:w="2389" w:type="dxa"/>
            <w:tcBorders>
              <w:top w:val="single" w:sz="8" w:space="0" w:color="181717"/>
              <w:left w:val="single" w:sz="2" w:space="0" w:color="181717"/>
              <w:bottom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Calibri" w:cs="Arial" w:ascii="Arial" w:hAnsi="Arial"/>
                <w:color w:val="000000"/>
                <w:kern w:val="0"/>
                <w:sz w:val="22"/>
                <w:szCs w:val="22"/>
                <w:lang w:val="es-ES" w:eastAsia="es-ES" w:bidi="ar-SA"/>
              </w:rPr>
            </w:r>
          </w:p>
        </w:tc>
      </w:tr>
      <w:tr>
        <w:trPr>
          <w:trHeight w:val="131"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tabs>
                <w:tab w:val="clear" w:pos="708"/>
                <w:tab w:val="center" w:pos="404" w:leader="none"/>
              </w:tabs>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Femenino</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132</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ind w:left="114"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85.2</w:t>
            </w:r>
          </w:p>
        </w:tc>
      </w:tr>
      <w:tr>
        <w:trPr>
          <w:trHeight w:val="144"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tabs>
                <w:tab w:val="clear" w:pos="708"/>
                <w:tab w:val="center" w:pos="413" w:leader="none"/>
              </w:tabs>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Masculino</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23</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ind w:left="114"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14.8</w:t>
            </w:r>
          </w:p>
        </w:tc>
      </w:tr>
      <w:tr>
        <w:trPr>
          <w:trHeight w:val="397"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Edad media de los pacientes   en años en el momento de la   hospitalización</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sz w:val="24"/>
                <w:szCs w:val="24"/>
              </w:rPr>
            </w:pPr>
            <w:r>
              <w:rPr>
                <w:rFonts w:eastAsia="Arial" w:cs="Arial" w:ascii="Arial" w:hAnsi="Arial"/>
                <w:kern w:val="0"/>
                <w:sz w:val="24"/>
                <w:szCs w:val="24"/>
                <w:lang w:val="es-ES" w:eastAsia="es-ES" w:bidi="ar-SA"/>
              </w:rPr>
              <w:t>35 ±15,5 (18-77)</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jc w:val="left"/>
              <w:rPr>
                <w:rFonts w:ascii="Arial" w:hAnsi="Arial" w:eastAsia="Calibri" w:cs="Arial"/>
                <w:sz w:val="24"/>
                <w:szCs w:val="24"/>
              </w:rPr>
            </w:pPr>
            <w:r>
              <w:rPr>
                <w:rFonts w:eastAsia="Calibri" w:cs="Arial" w:ascii="Arial" w:hAnsi="Arial"/>
                <w:kern w:val="0"/>
                <w:sz w:val="22"/>
                <w:szCs w:val="22"/>
                <w:lang w:val="es-ES" w:eastAsia="es-ES" w:bidi="ar-SA"/>
              </w:rPr>
            </w:r>
          </w:p>
        </w:tc>
      </w:tr>
      <w:tr>
        <w:trPr>
          <w:trHeight w:val="144"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tabs>
                <w:tab w:val="clear" w:pos="708"/>
                <w:tab w:val="center" w:pos="720" w:leader="none"/>
              </w:tabs>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Edad Media hombres</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sz w:val="24"/>
                <w:szCs w:val="24"/>
              </w:rPr>
            </w:pPr>
            <w:r>
              <w:rPr>
                <w:rFonts w:eastAsia="Arial" w:cs="Arial" w:ascii="Arial" w:hAnsi="Arial"/>
                <w:kern w:val="0"/>
                <w:sz w:val="24"/>
                <w:szCs w:val="24"/>
                <w:lang w:val="es-ES" w:eastAsia="es-ES" w:bidi="ar-SA"/>
              </w:rPr>
              <w:t>30 ±16,8 (18-61)</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jc w:val="left"/>
              <w:rPr>
                <w:rFonts w:ascii="Arial" w:hAnsi="Arial" w:eastAsia="Calibri" w:cs="Arial"/>
                <w:sz w:val="24"/>
                <w:szCs w:val="24"/>
              </w:rPr>
            </w:pPr>
            <w:r>
              <w:rPr>
                <w:rFonts w:eastAsia="Calibri" w:cs="Arial" w:ascii="Arial" w:hAnsi="Arial"/>
                <w:kern w:val="0"/>
                <w:sz w:val="22"/>
                <w:szCs w:val="22"/>
                <w:lang w:val="es-ES" w:eastAsia="es-ES" w:bidi="ar-SA"/>
              </w:rPr>
            </w:r>
          </w:p>
        </w:tc>
      </w:tr>
      <w:tr>
        <w:trPr>
          <w:trHeight w:val="131"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tabs>
                <w:tab w:val="clear" w:pos="708"/>
                <w:tab w:val="center" w:pos="697" w:leader="none"/>
              </w:tabs>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Edad Media mujeres</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sz w:val="24"/>
                <w:szCs w:val="24"/>
              </w:rPr>
            </w:pPr>
            <w:r>
              <w:rPr>
                <w:rFonts w:eastAsia="Arial" w:cs="Arial" w:ascii="Arial" w:hAnsi="Arial"/>
                <w:kern w:val="0"/>
                <w:sz w:val="24"/>
                <w:szCs w:val="24"/>
                <w:lang w:val="es-ES" w:eastAsia="es-ES" w:bidi="ar-SA"/>
              </w:rPr>
              <w:t>35 ±15,5(18-77)</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jc w:val="left"/>
              <w:rPr>
                <w:rFonts w:ascii="Arial" w:hAnsi="Arial" w:eastAsia="Calibri" w:cs="Arial"/>
                <w:sz w:val="24"/>
                <w:szCs w:val="24"/>
              </w:rPr>
            </w:pPr>
            <w:r>
              <w:rPr>
                <w:rFonts w:eastAsia="Calibri" w:cs="Arial" w:ascii="Arial" w:hAnsi="Arial"/>
                <w:kern w:val="0"/>
                <w:sz w:val="22"/>
                <w:szCs w:val="22"/>
                <w:lang w:val="es-ES" w:eastAsia="es-ES" w:bidi="ar-SA"/>
              </w:rPr>
            </w:r>
          </w:p>
        </w:tc>
      </w:tr>
      <w:tr>
        <w:trPr>
          <w:trHeight w:val="305"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Duración de la enfermedad</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Calibri" w:cs="Arial" w:ascii="Arial" w:hAnsi="Arial"/>
                <w:color w:val="000000"/>
                <w:kern w:val="0"/>
                <w:sz w:val="22"/>
                <w:szCs w:val="22"/>
                <w:lang w:val="es-ES" w:eastAsia="es-ES" w:bidi="ar-SA"/>
              </w:rPr>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Calibri" w:cs="Arial" w:ascii="Arial" w:hAnsi="Arial"/>
                <w:color w:val="000000"/>
                <w:kern w:val="0"/>
                <w:sz w:val="22"/>
                <w:szCs w:val="22"/>
                <w:lang w:val="es-ES" w:eastAsia="es-ES" w:bidi="ar-SA"/>
              </w:rPr>
            </w:r>
          </w:p>
        </w:tc>
      </w:tr>
      <w:tr>
        <w:trPr>
          <w:trHeight w:val="119"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tabs>
                <w:tab w:val="clear" w:pos="708"/>
                <w:tab w:val="center" w:pos="574" w:leader="none"/>
              </w:tabs>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 xml:space="preserve">Entre 1 y 5 años                                                                                           </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97</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ind w:left="114"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62.5</w:t>
            </w:r>
          </w:p>
        </w:tc>
      </w:tr>
      <w:tr>
        <w:trPr>
          <w:trHeight w:val="144"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tabs>
                <w:tab w:val="clear" w:pos="708"/>
                <w:tab w:val="center" w:pos="564" w:leader="none"/>
              </w:tabs>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 xml:space="preserve">Entre 6-10 años                                                                                  </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43</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ind w:left="114"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27.4</w:t>
            </w:r>
          </w:p>
        </w:tc>
      </w:tr>
      <w:tr>
        <w:trPr>
          <w:trHeight w:val="144"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tabs>
                <w:tab w:val="clear" w:pos="708"/>
                <w:tab w:val="center" w:pos="303" w:leader="none"/>
              </w:tabs>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Debut de la enfermedad</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15</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ind w:left="114"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9.7</w:t>
            </w:r>
          </w:p>
        </w:tc>
      </w:tr>
      <w:tr>
        <w:trPr>
          <w:trHeight w:val="264"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Pacientes con LES conocidos en seguimiento</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140</w:t>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ind w:left="114"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90.3</w:t>
            </w:r>
          </w:p>
        </w:tc>
      </w:tr>
      <w:tr>
        <w:trPr>
          <w:trHeight w:val="277" w:hRule="atLeast"/>
        </w:trPr>
        <w:tc>
          <w:tcPr>
            <w:tcW w:w="3809" w:type="dxa"/>
            <w:tcBorders>
              <w:top w:val="single" w:sz="2" w:space="0" w:color="181717"/>
              <w:bottom w:val="single" w:sz="2" w:space="0" w:color="181717"/>
              <w:right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Actividad de la enfermedad al ingreso hospitalario</w:t>
            </w:r>
          </w:p>
        </w:tc>
        <w:tc>
          <w:tcPr>
            <w:tcW w:w="2467" w:type="dxa"/>
            <w:tcBorders>
              <w:top w:val="single" w:sz="2" w:space="0" w:color="181717"/>
              <w:left w:val="single" w:sz="2" w:space="0" w:color="181717"/>
              <w:bottom w:val="single" w:sz="2" w:space="0" w:color="181717"/>
              <w:right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Calibri" w:cs="Arial" w:ascii="Arial" w:hAnsi="Arial"/>
                <w:color w:val="000000"/>
                <w:kern w:val="0"/>
                <w:sz w:val="22"/>
                <w:szCs w:val="22"/>
                <w:lang w:val="es-ES" w:eastAsia="es-ES" w:bidi="ar-SA"/>
              </w:rPr>
            </w:r>
          </w:p>
        </w:tc>
        <w:tc>
          <w:tcPr>
            <w:tcW w:w="2389" w:type="dxa"/>
            <w:tcBorders>
              <w:top w:val="single" w:sz="2" w:space="0" w:color="181717"/>
              <w:left w:val="single" w:sz="2" w:space="0" w:color="181717"/>
              <w:bottom w:val="single" w:sz="2" w:space="0" w:color="181717"/>
            </w:tcBorders>
            <w:shd w:color="auto" w:fill="auto" w:val="clear"/>
          </w:tcPr>
          <w:p>
            <w:pPr>
              <w:pStyle w:val="Normal"/>
              <w:widowControl/>
              <w:spacing w:lineRule="auto" w:line="259" w:before="0" w:after="160"/>
              <w:jc w:val="left"/>
              <w:rPr>
                <w:rFonts w:ascii="Arial" w:hAnsi="Arial" w:eastAsia="Calibri" w:cs="Arial"/>
                <w:color w:val="000000"/>
                <w:sz w:val="24"/>
                <w:szCs w:val="24"/>
              </w:rPr>
            </w:pPr>
            <w:r>
              <w:rPr>
                <w:rFonts w:eastAsia="Calibri" w:cs="Arial" w:ascii="Arial" w:hAnsi="Arial"/>
                <w:color w:val="000000"/>
                <w:kern w:val="0"/>
                <w:sz w:val="22"/>
                <w:szCs w:val="22"/>
                <w:lang w:val="es-ES" w:eastAsia="es-ES" w:bidi="ar-SA"/>
              </w:rPr>
            </w:r>
          </w:p>
        </w:tc>
      </w:tr>
      <w:tr>
        <w:trPr>
          <w:trHeight w:val="149" w:hRule="atLeast"/>
        </w:trPr>
        <w:tc>
          <w:tcPr>
            <w:tcW w:w="3809" w:type="dxa"/>
            <w:tcBorders>
              <w:top w:val="single" w:sz="2" w:space="0" w:color="181717"/>
              <w:bottom w:val="single" w:sz="8" w:space="0" w:color="181717"/>
              <w:right w:val="single" w:sz="2" w:space="0" w:color="181717"/>
            </w:tcBorders>
            <w:shd w:color="auto" w:fill="auto" w:val="clear"/>
          </w:tcPr>
          <w:p>
            <w:pPr>
              <w:pStyle w:val="Normal"/>
              <w:widowControl/>
              <w:tabs>
                <w:tab w:val="clear" w:pos="708"/>
                <w:tab w:val="center" w:pos="307" w:leader="none"/>
              </w:tabs>
              <w:spacing w:lineRule="auto" w:line="259" w:before="0" w:after="16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 xml:space="preserve">Activo </w:t>
            </w:r>
          </w:p>
        </w:tc>
        <w:tc>
          <w:tcPr>
            <w:tcW w:w="2467" w:type="dxa"/>
            <w:tcBorders>
              <w:top w:val="single" w:sz="2" w:space="0" w:color="181717"/>
              <w:left w:val="single" w:sz="2" w:space="0" w:color="181717"/>
              <w:bottom w:val="single" w:sz="8" w:space="0" w:color="181717"/>
              <w:right w:val="single" w:sz="2" w:space="0" w:color="181717"/>
            </w:tcBorders>
            <w:shd w:color="auto" w:fill="auto" w:val="clear"/>
          </w:tcPr>
          <w:p>
            <w:pPr>
              <w:pStyle w:val="Normal"/>
              <w:widowControl/>
              <w:spacing w:lineRule="auto" w:line="259" w:before="0" w:after="160"/>
              <w:ind w:left="8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117</w:t>
            </w:r>
          </w:p>
        </w:tc>
        <w:tc>
          <w:tcPr>
            <w:tcW w:w="2389" w:type="dxa"/>
            <w:tcBorders>
              <w:top w:val="single" w:sz="2" w:space="0" w:color="181717"/>
              <w:left w:val="single" w:sz="2" w:space="0" w:color="181717"/>
              <w:bottom w:val="single" w:sz="8" w:space="0" w:color="181717"/>
            </w:tcBorders>
            <w:shd w:color="auto" w:fill="auto" w:val="clear"/>
          </w:tcPr>
          <w:p>
            <w:pPr>
              <w:pStyle w:val="Normal"/>
              <w:widowControl/>
              <w:spacing w:lineRule="auto" w:line="259" w:before="0" w:after="160"/>
              <w:ind w:left="114"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75.4</w:t>
            </w:r>
          </w:p>
        </w:tc>
      </w:tr>
    </w:tbl>
    <w:p>
      <w:pPr>
        <w:pStyle w:val="Normal"/>
        <w:rPr>
          <w:rFonts w:ascii="Arial" w:hAnsi="Arial" w:cs="Arial"/>
          <w:sz w:val="24"/>
          <w:szCs w:val="24"/>
        </w:rPr>
      </w:pPr>
      <w:bookmarkStart w:id="3" w:name="_Hlk102377114"/>
      <w:r>
        <w:rPr>
          <w:rFonts w:cs="Arial" w:ascii="Arial" w:hAnsi="Arial"/>
          <w:sz w:val="24"/>
          <w:szCs w:val="24"/>
        </w:rPr>
        <w:t>Fuente: historia Clínica Individual</w:t>
      </w:r>
      <w:bookmarkEnd w:id="3"/>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color w:val="181717"/>
          <w:sz w:val="24"/>
          <w:szCs w:val="24"/>
          <w:lang w:eastAsia="es-ES"/>
        </w:rPr>
        <w:t>.</w:t>
      </w:r>
      <w:r>
        <w:rPr>
          <w:rFonts w:eastAsia="Arial" w:cs="Arial" w:ascii="Arial" w:hAnsi="Arial"/>
          <w:b/>
          <w:color w:val="181717"/>
          <w:sz w:val="24"/>
          <w:szCs w:val="24"/>
          <w:lang w:eastAsia="es-ES"/>
        </w:rPr>
        <w:t xml:space="preserve"> </w:t>
      </w:r>
    </w:p>
    <w:p>
      <w:pPr>
        <w:pStyle w:val="Normal"/>
        <w:spacing w:lineRule="auto" w:line="271" w:before="0" w:after="245"/>
        <w:ind w:right="36" w:hanging="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Las principales manifestaciones clínicas relacionadas con la enfermedad fueron la nefritis lúpica 31.6%, seguida por la pleuritis, 20%, </w:t>
      </w:r>
      <w:bookmarkStart w:id="4" w:name="_Hlk102427830"/>
      <w:r>
        <w:rPr>
          <w:rFonts w:eastAsia="Arial" w:cs="Arial" w:ascii="Arial" w:hAnsi="Arial"/>
          <w:color w:val="181717"/>
          <w:sz w:val="24"/>
          <w:szCs w:val="24"/>
          <w:lang w:eastAsia="es-ES"/>
        </w:rPr>
        <w:t xml:space="preserve">derrame pericárdico,10.9% ascitis, 9.6%, miocarditis,7.9%, neumonitis 5.1% neurolupus4.5% y vasculitis de SNC, 3.2 % y la polineuritis aguda 1.9%.  </w:t>
      </w:r>
      <w:bookmarkEnd w:id="4"/>
    </w:p>
    <w:p>
      <w:pPr>
        <w:pStyle w:val="Normal"/>
        <w:spacing w:lineRule="auto" w:line="271" w:before="0" w:after="245"/>
        <w:ind w:right="36" w:hanging="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Los procesos infecciosos se presentaron en un 36.1% de los pacientes. La principal infección identificada fue la ITU con 20.6%, la neumonía intrahospitalaria con un (7.7%), seguida de la neumonía de la comunidad con un 4.5%. (Ver tabla 2)</w:t>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right="24" w:hanging="0"/>
        <w:jc w:val="both"/>
        <w:rPr>
          <w:rFonts w:ascii="Arial" w:hAnsi="Arial" w:eastAsia="Calibri" w:cs="Arial"/>
          <w:b/>
          <w:b/>
          <w:color w:val="000000"/>
          <w:sz w:val="24"/>
          <w:szCs w:val="24"/>
          <w:lang w:eastAsia="es-ES"/>
        </w:rPr>
      </w:pPr>
      <w:r>
        <w:rPr>
          <w:rFonts w:eastAsia="Arial" w:cs="Arial" w:ascii="Arial" w:hAnsi="Arial"/>
          <w:b/>
          <w:color w:val="181717"/>
          <w:sz w:val="24"/>
          <w:szCs w:val="24"/>
          <w:lang w:eastAsia="es-ES"/>
        </w:rPr>
        <w:t>Tabla 2. Manifestaciones clínicas en pacientes con LES fallecidos en el Hospital Lucia Iñiguez.</w:t>
      </w:r>
    </w:p>
    <w:p>
      <w:pPr>
        <w:pStyle w:val="Normal"/>
        <w:spacing w:lineRule="auto" w:line="271" w:before="0" w:after="245"/>
        <w:ind w:right="36" w:hanging="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tbl>
      <w:tblPr>
        <w:tblStyle w:val="TableGrid"/>
        <w:tblW w:w="7088" w:type="dxa"/>
        <w:jc w:val="left"/>
        <w:tblInd w:w="0" w:type="dxa"/>
        <w:tblLayout w:type="fixed"/>
        <w:tblCellMar>
          <w:top w:w="22" w:type="dxa"/>
          <w:left w:w="0" w:type="dxa"/>
          <w:bottom w:w="0" w:type="dxa"/>
          <w:right w:w="115" w:type="dxa"/>
        </w:tblCellMar>
        <w:tblLook w:val="04a0" w:noHBand="0" w:noVBand="1" w:firstColumn="1" w:lastRow="0" w:lastColumn="0" w:firstRow="1"/>
      </w:tblPr>
      <w:tblGrid>
        <w:gridCol w:w="2616"/>
        <w:gridCol w:w="1516"/>
        <w:gridCol w:w="2956"/>
      </w:tblGrid>
      <w:tr>
        <w:trPr>
          <w:trHeight w:val="343" w:hRule="atLeast"/>
        </w:trPr>
        <w:tc>
          <w:tcPr>
            <w:tcW w:w="2616" w:type="dxa"/>
            <w:tcBorders>
              <w:top w:val="single" w:sz="8" w:space="0" w:color="181717"/>
              <w:bottom w:val="single" w:sz="8" w:space="0" w:color="181717"/>
              <w:right w:val="single" w:sz="2" w:space="0" w:color="181717"/>
            </w:tcBorders>
          </w:tcPr>
          <w:p>
            <w:pPr>
              <w:pStyle w:val="Normal"/>
              <w:widowControl/>
              <w:spacing w:lineRule="auto" w:line="240" w:before="0" w:after="0"/>
              <w:jc w:val="left"/>
              <w:rPr>
                <w:rFonts w:ascii="Arial" w:hAnsi="Arial" w:cs="Arial"/>
                <w:sz w:val="24"/>
                <w:szCs w:val="24"/>
              </w:rPr>
            </w:pPr>
            <w:bookmarkStart w:id="5" w:name="_Hlk102341430"/>
            <w:bookmarkEnd w:id="5"/>
            <w:r>
              <w:rPr>
                <w:rFonts w:eastAsia="Arial" w:cs="Arial" w:ascii="Arial" w:hAnsi="Arial"/>
                <w:b/>
                <w:color w:val="181717"/>
                <w:kern w:val="0"/>
                <w:sz w:val="24"/>
                <w:szCs w:val="24"/>
                <w:lang w:val="es-ES" w:eastAsia="es-ES" w:bidi="ar-SA"/>
              </w:rPr>
              <w:t xml:space="preserve">Manifestaciones clínicas </w:t>
            </w:r>
          </w:p>
        </w:tc>
        <w:tc>
          <w:tcPr>
            <w:tcW w:w="1516" w:type="dxa"/>
            <w:tcBorders>
              <w:top w:val="single" w:sz="8" w:space="0" w:color="181717"/>
              <w:left w:val="single" w:sz="2" w:space="0" w:color="181717"/>
              <w:bottom w:val="single" w:sz="8"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Arial" w:cs="Arial" w:ascii="Arial" w:hAnsi="Arial"/>
                <w:b/>
                <w:color w:val="181717"/>
                <w:kern w:val="0"/>
                <w:sz w:val="24"/>
                <w:szCs w:val="24"/>
                <w:lang w:val="es-ES" w:eastAsia="es-ES" w:bidi="ar-SA"/>
              </w:rPr>
              <w:t>Frecuencia</w:t>
            </w:r>
          </w:p>
        </w:tc>
        <w:tc>
          <w:tcPr>
            <w:tcW w:w="2956" w:type="dxa"/>
            <w:tcBorders>
              <w:top w:val="single" w:sz="8" w:space="0" w:color="181717"/>
              <w:left w:val="single" w:sz="2" w:space="0" w:color="181717"/>
              <w:bottom w:val="single" w:sz="8" w:space="0" w:color="181717"/>
            </w:tcBorders>
          </w:tcPr>
          <w:p>
            <w:pPr>
              <w:pStyle w:val="Normal"/>
              <w:widowControl/>
              <w:spacing w:lineRule="auto" w:line="240" w:before="0" w:after="0"/>
              <w:ind w:left="176" w:hanging="0"/>
              <w:jc w:val="center"/>
              <w:rPr>
                <w:rFonts w:ascii="Arial" w:hAnsi="Arial" w:cs="Arial"/>
                <w:sz w:val="24"/>
                <w:szCs w:val="24"/>
              </w:rPr>
            </w:pPr>
            <w:r>
              <w:rPr>
                <w:rFonts w:eastAsia="Arial" w:cs="Arial" w:ascii="Arial" w:hAnsi="Arial"/>
                <w:b/>
                <w:color w:val="181717"/>
                <w:kern w:val="0"/>
                <w:sz w:val="24"/>
                <w:szCs w:val="24"/>
                <w:lang w:val="es-ES" w:eastAsia="es-ES" w:bidi="ar-SA"/>
              </w:rPr>
              <w:t>Porcentaje</w:t>
            </w:r>
          </w:p>
        </w:tc>
      </w:tr>
      <w:tr>
        <w:trPr>
          <w:trHeight w:val="250" w:hRule="atLeast"/>
        </w:trPr>
        <w:tc>
          <w:tcPr>
            <w:tcW w:w="2616" w:type="dxa"/>
            <w:tcBorders>
              <w:top w:val="single" w:sz="8" w:space="0" w:color="181717"/>
              <w:bottom w:val="single" w:sz="2" w:space="0" w:color="181717"/>
              <w:right w:val="single" w:sz="2" w:space="0" w:color="181717"/>
            </w:tcBorders>
          </w:tcPr>
          <w:p>
            <w:pPr>
              <w:pStyle w:val="Normal"/>
              <w:widowControl/>
              <w:spacing w:lineRule="auto" w:line="240" w:before="0" w:after="0"/>
              <w:jc w:val="left"/>
              <w:rPr>
                <w:rFonts w:ascii="Arial" w:hAnsi="Arial" w:cs="Arial"/>
                <w:sz w:val="24"/>
                <w:szCs w:val="24"/>
              </w:rPr>
            </w:pPr>
            <w:r>
              <w:rPr>
                <w:rFonts w:eastAsia="Arial" w:cs="Arial" w:ascii="Arial" w:hAnsi="Arial"/>
                <w:b/>
                <w:color w:val="181717"/>
                <w:kern w:val="0"/>
                <w:sz w:val="24"/>
                <w:szCs w:val="24"/>
                <w:lang w:val="es-ES" w:eastAsia="es-ES" w:bidi="ar-SA"/>
              </w:rPr>
              <w:t>Actividad de la enfermedad</w:t>
            </w:r>
          </w:p>
        </w:tc>
        <w:tc>
          <w:tcPr>
            <w:tcW w:w="1516" w:type="dxa"/>
            <w:tcBorders>
              <w:top w:val="single" w:sz="8" w:space="0" w:color="181717"/>
              <w:left w:val="single" w:sz="2" w:space="0" w:color="181717"/>
              <w:bottom w:val="single" w:sz="2" w:space="0" w:color="181717"/>
              <w:right w:val="single" w:sz="2" w:space="0" w:color="181717"/>
            </w:tcBorders>
          </w:tcPr>
          <w:p>
            <w:pPr>
              <w:pStyle w:val="Normal"/>
              <w:widowControl/>
              <w:spacing w:lineRule="auto" w:line="240" w:before="0" w:after="0"/>
              <w:jc w:val="left"/>
              <w:rPr>
                <w:rFonts w:ascii="Arial" w:hAnsi="Arial" w:cs="Arial"/>
                <w:sz w:val="24"/>
                <w:szCs w:val="24"/>
              </w:rPr>
            </w:pPr>
            <w:r>
              <w:rPr>
                <w:rFonts w:eastAsia="" w:cs="Arial" w:ascii="Arial" w:hAnsi="Arial"/>
                <w:kern w:val="0"/>
                <w:sz w:val="24"/>
                <w:szCs w:val="24"/>
                <w:lang w:val="es-ES" w:eastAsia="es-ES" w:bidi="ar-SA"/>
              </w:rPr>
              <w:t xml:space="preserve">        </w:t>
            </w:r>
            <w:r>
              <w:rPr>
                <w:rFonts w:eastAsia="" w:cs="Arial" w:ascii="Arial" w:hAnsi="Arial"/>
                <w:kern w:val="0"/>
                <w:sz w:val="24"/>
                <w:szCs w:val="24"/>
                <w:lang w:val="es-ES" w:eastAsia="es-ES" w:bidi="ar-SA"/>
              </w:rPr>
              <w:t>146</w:t>
            </w:r>
          </w:p>
        </w:tc>
        <w:tc>
          <w:tcPr>
            <w:tcW w:w="2956" w:type="dxa"/>
            <w:tcBorders>
              <w:top w:val="single" w:sz="8" w:space="0" w:color="181717"/>
              <w:left w:val="single" w:sz="2" w:space="0" w:color="181717"/>
              <w:bottom w:val="single" w:sz="2" w:space="0" w:color="181717"/>
            </w:tcBorders>
          </w:tcPr>
          <w:p>
            <w:pPr>
              <w:pStyle w:val="Normal"/>
              <w:widowControl/>
              <w:spacing w:lineRule="auto" w:line="240" w:before="0" w:after="0"/>
              <w:jc w:val="left"/>
              <w:rPr>
                <w:rFonts w:ascii="Arial" w:hAnsi="Arial" w:cs="Arial"/>
                <w:sz w:val="24"/>
                <w:szCs w:val="24"/>
              </w:rPr>
            </w:pPr>
            <w:r>
              <w:rPr>
                <w:rFonts w:eastAsia="" w:cs="Arial" w:ascii="Arial" w:hAnsi="Arial"/>
                <w:kern w:val="0"/>
                <w:sz w:val="24"/>
                <w:szCs w:val="24"/>
                <w:lang w:val="es-ES" w:eastAsia="es-ES" w:bidi="ar-SA"/>
              </w:rPr>
              <w:t xml:space="preserve">                    </w:t>
            </w:r>
            <w:r>
              <w:rPr>
                <w:rFonts w:eastAsia="" w:cs="Arial" w:ascii="Arial" w:hAnsi="Arial"/>
                <w:kern w:val="0"/>
                <w:sz w:val="24"/>
                <w:szCs w:val="24"/>
                <w:lang w:val="es-ES" w:eastAsia="es-ES" w:bidi="ar-SA"/>
              </w:rPr>
              <w:t>94.1</w:t>
            </w:r>
          </w:p>
        </w:tc>
      </w:tr>
      <w:tr>
        <w:trPr>
          <w:trHeight w:val="156"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507"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Nefritis lúpica</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49</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31.6</w:t>
            </w:r>
          </w:p>
        </w:tc>
      </w:tr>
      <w:tr>
        <w:trPr>
          <w:trHeight w:val="170"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350"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Pleuritis</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31</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20</w:t>
            </w:r>
          </w:p>
        </w:tc>
      </w:tr>
      <w:tr>
        <w:trPr>
          <w:trHeight w:val="319"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697" w:leader="none"/>
              </w:tabs>
              <w:spacing w:lineRule="auto" w:line="240" w:before="0" w:after="23"/>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Derrame pericárdico</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11"/>
              <w:ind w:left="133" w:hanging="0"/>
              <w:jc w:val="center"/>
              <w:rPr>
                <w:rFonts w:ascii="Arial" w:hAnsi="Arial" w:cs="Arial"/>
                <w:sz w:val="24"/>
                <w:szCs w:val="24"/>
              </w:rPr>
            </w:pPr>
            <w:r>
              <w:rPr>
                <w:rFonts w:eastAsia="" w:cs="Arial" w:ascii="Arial" w:hAnsi="Arial"/>
                <w:kern w:val="0"/>
                <w:sz w:val="24"/>
                <w:szCs w:val="24"/>
                <w:lang w:val="es-ES" w:eastAsia="es-ES" w:bidi="ar-SA"/>
              </w:rPr>
              <w:t>17</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11"/>
              <w:ind w:left="176" w:hanging="0"/>
              <w:jc w:val="center"/>
              <w:rPr>
                <w:rFonts w:ascii="Arial" w:hAnsi="Arial" w:cs="Arial"/>
                <w:sz w:val="24"/>
                <w:szCs w:val="24"/>
              </w:rPr>
            </w:pPr>
            <w:r>
              <w:rPr>
                <w:rFonts w:eastAsia="" w:cs="Arial" w:ascii="Arial" w:hAnsi="Arial"/>
                <w:kern w:val="0"/>
                <w:sz w:val="24"/>
                <w:szCs w:val="24"/>
                <w:lang w:val="es-ES" w:eastAsia="es-ES" w:bidi="ar-SA"/>
              </w:rPr>
              <w:t>10.9</w:t>
            </w:r>
          </w:p>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2"/>
                <w:szCs w:val="22"/>
                <w:lang w:val="es-ES" w:eastAsia="es-ES" w:bidi="ar-SA"/>
              </w:rPr>
            </w:r>
          </w:p>
        </w:tc>
      </w:tr>
      <w:tr>
        <w:trPr>
          <w:trHeight w:val="468"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697" w:leader="none"/>
              </w:tabs>
              <w:spacing w:lineRule="auto" w:line="240" w:before="0" w:after="23"/>
              <w:jc w:val="left"/>
              <w:rPr>
                <w:rFonts w:ascii="Arial" w:hAnsi="Arial" w:eastAsia="Arial" w:cs="Arial"/>
                <w:color w:val="181717"/>
                <w:sz w:val="24"/>
                <w:szCs w:val="24"/>
              </w:rPr>
            </w:pPr>
            <w:r>
              <w:rPr>
                <w:rFonts w:eastAsia="Arial" w:cs="Arial" w:ascii="Arial" w:hAnsi="Arial"/>
                <w:color w:val="181717"/>
                <w:kern w:val="0"/>
                <w:sz w:val="24"/>
                <w:szCs w:val="24"/>
                <w:lang w:val="es-ES" w:eastAsia="es-ES" w:bidi="ar-SA"/>
              </w:rPr>
              <w:t>Ascitis</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11"/>
              <w:ind w:left="133" w:hanging="0"/>
              <w:jc w:val="center"/>
              <w:rPr>
                <w:rFonts w:ascii="Arial" w:hAnsi="Arial" w:cs="Arial"/>
                <w:sz w:val="24"/>
                <w:szCs w:val="24"/>
              </w:rPr>
            </w:pPr>
            <w:r>
              <w:rPr>
                <w:rFonts w:eastAsia="" w:cs="Arial" w:ascii="Arial" w:hAnsi="Arial"/>
                <w:kern w:val="0"/>
                <w:sz w:val="24"/>
                <w:szCs w:val="24"/>
                <w:lang w:val="es-ES" w:eastAsia="es-ES" w:bidi="ar-SA"/>
              </w:rPr>
              <w:t>15</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11"/>
              <w:ind w:left="176" w:hanging="0"/>
              <w:jc w:val="center"/>
              <w:rPr>
                <w:rFonts w:ascii="Arial" w:hAnsi="Arial" w:cs="Arial"/>
                <w:sz w:val="24"/>
                <w:szCs w:val="24"/>
              </w:rPr>
            </w:pPr>
            <w:r>
              <w:rPr>
                <w:rFonts w:eastAsia="" w:cs="Arial" w:ascii="Arial" w:hAnsi="Arial"/>
                <w:kern w:val="0"/>
                <w:sz w:val="24"/>
                <w:szCs w:val="24"/>
                <w:lang w:val="es-ES" w:eastAsia="es-ES" w:bidi="ar-SA"/>
              </w:rPr>
              <w:t>9.6</w:t>
            </w:r>
          </w:p>
        </w:tc>
      </w:tr>
      <w:tr>
        <w:trPr>
          <w:trHeight w:val="170"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433"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Miocarditis</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11</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7.9</w:t>
            </w:r>
          </w:p>
        </w:tc>
      </w:tr>
      <w:tr>
        <w:trPr>
          <w:trHeight w:val="156"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440"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Neumonitis</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8</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5.1</w:t>
            </w:r>
          </w:p>
        </w:tc>
      </w:tr>
      <w:tr>
        <w:trPr>
          <w:trHeight w:val="156"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450"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Neurolupus</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7</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4.5</w:t>
            </w:r>
          </w:p>
        </w:tc>
      </w:tr>
      <w:tr>
        <w:trPr>
          <w:trHeight w:val="170"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620"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Vasculitis del SNC</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5</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3.2</w:t>
            </w:r>
          </w:p>
        </w:tc>
      </w:tr>
      <w:tr>
        <w:trPr>
          <w:trHeight w:val="142"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657"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Polineuritis Aguda</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3</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1.9</w:t>
            </w:r>
          </w:p>
        </w:tc>
      </w:tr>
      <w:tr>
        <w:trPr>
          <w:trHeight w:val="170" w:hRule="atLeast"/>
        </w:trPr>
        <w:tc>
          <w:tcPr>
            <w:tcW w:w="2616" w:type="dxa"/>
            <w:tcBorders>
              <w:top w:val="single" w:sz="2" w:space="0" w:color="181717"/>
              <w:bottom w:val="single" w:sz="2" w:space="0" w:color="181717"/>
              <w:right w:val="single" w:sz="2" w:space="0" w:color="181717"/>
            </w:tcBorders>
          </w:tcPr>
          <w:p>
            <w:pPr>
              <w:pStyle w:val="Normal"/>
              <w:widowControl/>
              <w:spacing w:lineRule="auto" w:line="240" w:before="0" w:after="0"/>
              <w:jc w:val="left"/>
              <w:rPr>
                <w:rFonts w:ascii="Arial" w:hAnsi="Arial" w:cs="Arial"/>
                <w:sz w:val="24"/>
                <w:szCs w:val="24"/>
              </w:rPr>
            </w:pPr>
            <w:r>
              <w:rPr>
                <w:rFonts w:eastAsia="" w:cs="Arial" w:ascii="Arial" w:hAnsi="Arial"/>
                <w:kern w:val="0"/>
                <w:sz w:val="22"/>
                <w:szCs w:val="22"/>
                <w:lang w:val="es-ES" w:eastAsia="es-ES" w:bidi="ar-SA"/>
              </w:rPr>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jc w:val="left"/>
              <w:rPr>
                <w:rFonts w:ascii="Arial" w:hAnsi="Arial" w:cs="Arial"/>
                <w:sz w:val="24"/>
                <w:szCs w:val="24"/>
              </w:rPr>
            </w:pPr>
            <w:r>
              <w:rPr>
                <w:rFonts w:eastAsia="" w:cs="Arial" w:ascii="Arial" w:hAnsi="Arial"/>
                <w:kern w:val="0"/>
                <w:sz w:val="22"/>
                <w:szCs w:val="22"/>
                <w:lang w:val="es-ES" w:eastAsia="es-ES" w:bidi="ar-SA"/>
              </w:rPr>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jc w:val="left"/>
              <w:rPr>
                <w:rFonts w:ascii="Arial" w:hAnsi="Arial" w:cs="Arial"/>
                <w:sz w:val="24"/>
                <w:szCs w:val="24"/>
              </w:rPr>
            </w:pPr>
            <w:r>
              <w:rPr>
                <w:rFonts w:eastAsia="" w:cs="Arial" w:ascii="Arial" w:hAnsi="Arial"/>
                <w:kern w:val="0"/>
                <w:sz w:val="22"/>
                <w:szCs w:val="22"/>
                <w:lang w:val="es-ES" w:eastAsia="es-ES" w:bidi="ar-SA"/>
              </w:rPr>
            </w:r>
          </w:p>
        </w:tc>
      </w:tr>
      <w:tr>
        <w:trPr>
          <w:trHeight w:val="156" w:hRule="atLeast"/>
        </w:trPr>
        <w:tc>
          <w:tcPr>
            <w:tcW w:w="2616" w:type="dxa"/>
            <w:tcBorders>
              <w:top w:val="single" w:sz="2" w:space="0" w:color="181717"/>
              <w:bottom w:val="single" w:sz="2" w:space="0" w:color="181717"/>
              <w:right w:val="single" w:sz="2" w:space="0" w:color="181717"/>
            </w:tcBorders>
          </w:tcPr>
          <w:p>
            <w:pPr>
              <w:pStyle w:val="Normal"/>
              <w:widowControl/>
              <w:spacing w:lineRule="auto" w:line="240" w:before="0" w:after="0"/>
              <w:jc w:val="left"/>
              <w:rPr>
                <w:rFonts w:ascii="Arial" w:hAnsi="Arial" w:cs="Arial"/>
                <w:sz w:val="24"/>
                <w:szCs w:val="24"/>
              </w:rPr>
            </w:pPr>
            <w:r>
              <w:rPr>
                <w:rFonts w:eastAsia="Arial" w:cs="Arial" w:ascii="Arial" w:hAnsi="Arial"/>
                <w:b/>
                <w:color w:val="181717"/>
                <w:kern w:val="0"/>
                <w:sz w:val="24"/>
                <w:szCs w:val="24"/>
                <w:lang w:val="es-ES" w:eastAsia="es-ES" w:bidi="ar-SA"/>
              </w:rPr>
              <w:t>Proceso infeccioso</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jc w:val="left"/>
              <w:rPr>
                <w:rFonts w:ascii="Arial" w:hAnsi="Arial" w:cs="Arial"/>
                <w:sz w:val="24"/>
                <w:szCs w:val="24"/>
              </w:rPr>
            </w:pPr>
            <w:r>
              <w:rPr>
                <w:rFonts w:eastAsia="" w:cs="Arial" w:ascii="Arial" w:hAnsi="Arial"/>
                <w:kern w:val="0"/>
                <w:sz w:val="24"/>
                <w:szCs w:val="24"/>
                <w:lang w:val="es-ES" w:eastAsia="es-ES" w:bidi="ar-SA"/>
              </w:rPr>
              <w:t xml:space="preserve">          </w:t>
            </w:r>
            <w:r>
              <w:rPr>
                <w:rFonts w:eastAsia="" w:cs="Arial" w:ascii="Arial" w:hAnsi="Arial"/>
                <w:kern w:val="0"/>
                <w:sz w:val="24"/>
                <w:szCs w:val="24"/>
                <w:lang w:val="es-ES" w:eastAsia="es-ES" w:bidi="ar-SA"/>
              </w:rPr>
              <w:t>56</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jc w:val="left"/>
              <w:rPr>
                <w:rFonts w:ascii="Arial" w:hAnsi="Arial" w:cs="Arial"/>
                <w:sz w:val="24"/>
                <w:szCs w:val="24"/>
              </w:rPr>
            </w:pPr>
            <w:r>
              <w:rPr>
                <w:rFonts w:eastAsia="" w:cs="Arial" w:ascii="Arial" w:hAnsi="Arial"/>
                <w:kern w:val="0"/>
                <w:sz w:val="24"/>
                <w:szCs w:val="24"/>
                <w:lang w:val="es-ES" w:eastAsia="es-ES" w:bidi="ar-SA"/>
              </w:rPr>
              <w:t xml:space="preserve">                    </w:t>
            </w:r>
            <w:r>
              <w:rPr>
                <w:rFonts w:eastAsia="" w:cs="Arial" w:ascii="Arial" w:hAnsi="Arial"/>
                <w:kern w:val="0"/>
                <w:sz w:val="24"/>
                <w:szCs w:val="24"/>
                <w:lang w:val="es-ES" w:eastAsia="es-ES" w:bidi="ar-SA"/>
              </w:rPr>
              <w:t>36.1</w:t>
            </w:r>
          </w:p>
        </w:tc>
      </w:tr>
      <w:tr>
        <w:trPr>
          <w:trHeight w:val="326"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737" w:leader="none"/>
              </w:tabs>
              <w:spacing w:lineRule="auto" w:line="240" w:before="0" w:after="23"/>
              <w:jc w:val="left"/>
              <w:rPr>
                <w:rFonts w:ascii="Arial" w:hAnsi="Arial" w:eastAsia="Arial" w:cs="Arial"/>
                <w:color w:val="181717"/>
                <w:sz w:val="24"/>
                <w:szCs w:val="24"/>
              </w:rPr>
            </w:pPr>
            <w:r>
              <w:rPr>
                <w:rFonts w:eastAsia="Arial" w:cs="Arial" w:ascii="Arial" w:hAnsi="Arial"/>
                <w:color w:val="181717"/>
                <w:kern w:val="0"/>
                <w:sz w:val="24"/>
                <w:szCs w:val="24"/>
                <w:lang w:val="es-ES" w:eastAsia="es-ES" w:bidi="ar-SA"/>
              </w:rPr>
              <w:t>ITU</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11"/>
              <w:ind w:left="133" w:hanging="0"/>
              <w:jc w:val="center"/>
              <w:rPr>
                <w:rFonts w:ascii="Arial" w:hAnsi="Arial" w:cs="Arial"/>
                <w:sz w:val="24"/>
                <w:szCs w:val="24"/>
              </w:rPr>
            </w:pPr>
            <w:r>
              <w:rPr>
                <w:rFonts w:eastAsia="" w:cs="Arial" w:ascii="Arial" w:hAnsi="Arial"/>
                <w:kern w:val="0"/>
                <w:sz w:val="24"/>
                <w:szCs w:val="24"/>
                <w:lang w:val="es-ES" w:eastAsia="es-ES" w:bidi="ar-SA"/>
              </w:rPr>
              <w:t>32</w:t>
            </w:r>
          </w:p>
        </w:tc>
        <w:tc>
          <w:tcPr>
            <w:tcW w:w="2956" w:type="dxa"/>
            <w:tcBorders>
              <w:top w:val="single" w:sz="2" w:space="0" w:color="181717"/>
              <w:left w:val="single" w:sz="2" w:space="0" w:color="181717"/>
              <w:bottom w:val="single" w:sz="2" w:space="0" w:color="181717"/>
            </w:tcBorders>
          </w:tcPr>
          <w:p>
            <w:pPr>
              <w:pStyle w:val="Normal"/>
              <w:widowControl/>
              <w:tabs>
                <w:tab w:val="clear" w:pos="708"/>
                <w:tab w:val="left" w:pos="1245" w:leader="none"/>
                <w:tab w:val="center" w:pos="1508" w:leader="none"/>
              </w:tabs>
              <w:spacing w:lineRule="auto" w:line="240" w:before="0" w:after="11"/>
              <w:ind w:left="176" w:hanging="0"/>
              <w:jc w:val="left"/>
              <w:rPr>
                <w:rFonts w:ascii="Arial" w:hAnsi="Arial" w:cs="Arial"/>
                <w:sz w:val="24"/>
                <w:szCs w:val="24"/>
              </w:rPr>
            </w:pPr>
            <w:r>
              <w:rPr>
                <w:rFonts w:eastAsia="" w:cs="Arial" w:ascii="Arial" w:hAnsi="Arial"/>
                <w:kern w:val="0"/>
                <w:sz w:val="24"/>
                <w:szCs w:val="24"/>
                <w:lang w:val="es-ES" w:eastAsia="es-ES" w:bidi="ar-SA"/>
              </w:rPr>
              <w:tab/>
              <w:t xml:space="preserve"> </w:t>
              <w:tab/>
              <w:t>20.6</w:t>
            </w:r>
          </w:p>
        </w:tc>
      </w:tr>
      <w:tr>
        <w:trPr>
          <w:trHeight w:val="326"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737" w:leader="none"/>
              </w:tabs>
              <w:spacing w:lineRule="auto" w:line="240" w:before="0" w:after="23"/>
              <w:jc w:val="left"/>
              <w:rPr>
                <w:rFonts w:ascii="Arial" w:hAnsi="Arial" w:eastAsia="Arial" w:cs="Arial"/>
                <w:color w:val="181717"/>
                <w:sz w:val="24"/>
                <w:szCs w:val="24"/>
              </w:rPr>
            </w:pPr>
            <w:r>
              <w:rPr>
                <w:rFonts w:eastAsia="Arial" w:cs="Arial" w:ascii="Arial" w:hAnsi="Arial"/>
                <w:color w:val="181717"/>
                <w:kern w:val="0"/>
                <w:sz w:val="24"/>
                <w:szCs w:val="24"/>
                <w:lang w:val="es-ES" w:eastAsia="es-ES" w:bidi="ar-SA"/>
              </w:rPr>
              <w:t>Neumonía Nosocomial</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11"/>
              <w:ind w:left="133" w:hanging="0"/>
              <w:jc w:val="center"/>
              <w:rPr>
                <w:rFonts w:ascii="Arial" w:hAnsi="Arial" w:cs="Arial"/>
                <w:sz w:val="24"/>
                <w:szCs w:val="24"/>
              </w:rPr>
            </w:pPr>
            <w:r>
              <w:rPr>
                <w:rFonts w:eastAsia="" w:cs="Arial" w:ascii="Arial" w:hAnsi="Arial"/>
                <w:kern w:val="0"/>
                <w:sz w:val="24"/>
                <w:szCs w:val="24"/>
                <w:lang w:val="es-ES" w:eastAsia="es-ES" w:bidi="ar-SA"/>
              </w:rPr>
              <w:t>12</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11"/>
              <w:ind w:left="176" w:hanging="0"/>
              <w:jc w:val="center"/>
              <w:rPr>
                <w:rFonts w:ascii="Arial" w:hAnsi="Arial" w:cs="Arial"/>
                <w:sz w:val="24"/>
                <w:szCs w:val="24"/>
              </w:rPr>
            </w:pPr>
            <w:r>
              <w:rPr>
                <w:rFonts w:eastAsia="" w:cs="Arial" w:ascii="Arial" w:hAnsi="Arial"/>
                <w:kern w:val="0"/>
                <w:sz w:val="24"/>
                <w:szCs w:val="24"/>
                <w:lang w:val="es-ES" w:eastAsia="es-ES" w:bidi="ar-SA"/>
              </w:rPr>
              <w:t>7.7</w:t>
            </w:r>
          </w:p>
        </w:tc>
      </w:tr>
      <w:tr>
        <w:trPr>
          <w:trHeight w:val="326"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884"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ab/>
              <w:t>Neumonía de la Comunidad</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11"/>
              <w:ind w:left="133" w:hanging="0"/>
              <w:jc w:val="center"/>
              <w:rPr>
                <w:rFonts w:ascii="Arial" w:hAnsi="Arial" w:cs="Arial"/>
                <w:sz w:val="24"/>
                <w:szCs w:val="24"/>
              </w:rPr>
            </w:pPr>
            <w:r>
              <w:rPr>
                <w:rFonts w:eastAsia="" w:cs="Arial" w:ascii="Arial" w:hAnsi="Arial"/>
                <w:kern w:val="0"/>
                <w:sz w:val="22"/>
                <w:szCs w:val="22"/>
                <w:lang w:val="es-ES" w:eastAsia="es-ES" w:bidi="ar-SA"/>
              </w:rPr>
            </w:r>
          </w:p>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7</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11"/>
              <w:ind w:left="176" w:hanging="0"/>
              <w:jc w:val="center"/>
              <w:rPr>
                <w:rFonts w:ascii="Arial" w:hAnsi="Arial" w:cs="Arial"/>
                <w:sz w:val="24"/>
                <w:szCs w:val="24"/>
              </w:rPr>
            </w:pPr>
            <w:r>
              <w:rPr>
                <w:rFonts w:eastAsia="" w:cs="Arial" w:ascii="Arial" w:hAnsi="Arial"/>
                <w:kern w:val="0"/>
                <w:sz w:val="22"/>
                <w:szCs w:val="22"/>
                <w:lang w:val="es-ES" w:eastAsia="es-ES" w:bidi="ar-SA"/>
              </w:rPr>
            </w:r>
          </w:p>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4.5</w:t>
            </w:r>
          </w:p>
        </w:tc>
      </w:tr>
      <w:tr>
        <w:trPr>
          <w:trHeight w:val="170" w:hRule="atLeast"/>
        </w:trPr>
        <w:tc>
          <w:tcPr>
            <w:tcW w:w="2616" w:type="dxa"/>
            <w:tcBorders>
              <w:top w:val="single" w:sz="2" w:space="0" w:color="181717"/>
              <w:bottom w:val="single" w:sz="2" w:space="0" w:color="181717"/>
              <w:right w:val="single" w:sz="2" w:space="0" w:color="181717"/>
            </w:tcBorders>
          </w:tcPr>
          <w:p>
            <w:pPr>
              <w:pStyle w:val="Normal"/>
              <w:widowControl/>
              <w:tabs>
                <w:tab w:val="clear" w:pos="708"/>
                <w:tab w:val="center" w:pos="690" w:leader="none"/>
              </w:tabs>
              <w:spacing w:lineRule="auto" w:line="240" w:before="0" w:after="0"/>
              <w:jc w:val="left"/>
              <w:rPr>
                <w:rFonts w:ascii="Arial" w:hAnsi="Arial" w:cs="Arial"/>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Fascitis necrotizante</w:t>
            </w:r>
          </w:p>
        </w:tc>
        <w:tc>
          <w:tcPr>
            <w:tcW w:w="1516"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left="133" w:hanging="0"/>
              <w:jc w:val="center"/>
              <w:rPr>
                <w:rFonts w:ascii="Arial" w:hAnsi="Arial" w:cs="Arial"/>
                <w:sz w:val="24"/>
                <w:szCs w:val="24"/>
              </w:rPr>
            </w:pPr>
            <w:r>
              <w:rPr>
                <w:rFonts w:eastAsia="" w:cs="Arial" w:ascii="Arial" w:hAnsi="Arial"/>
                <w:kern w:val="0"/>
                <w:sz w:val="24"/>
                <w:szCs w:val="24"/>
                <w:lang w:val="es-ES" w:eastAsia="es-ES" w:bidi="ar-SA"/>
              </w:rPr>
              <w:t>5</w:t>
            </w:r>
          </w:p>
        </w:tc>
        <w:tc>
          <w:tcPr>
            <w:tcW w:w="2956" w:type="dxa"/>
            <w:tcBorders>
              <w:top w:val="single" w:sz="2" w:space="0" w:color="181717"/>
              <w:left w:val="single" w:sz="2" w:space="0" w:color="181717"/>
              <w:bottom w:val="single" w:sz="2" w:space="0" w:color="181717"/>
            </w:tcBorders>
          </w:tcPr>
          <w:p>
            <w:pPr>
              <w:pStyle w:val="Normal"/>
              <w:widowControl/>
              <w:spacing w:lineRule="auto" w:line="240" w:before="0" w:after="0"/>
              <w:ind w:left="176" w:hanging="0"/>
              <w:jc w:val="center"/>
              <w:rPr>
                <w:rFonts w:ascii="Arial" w:hAnsi="Arial" w:cs="Arial"/>
                <w:sz w:val="24"/>
                <w:szCs w:val="24"/>
              </w:rPr>
            </w:pPr>
            <w:r>
              <w:rPr>
                <w:rFonts w:eastAsia="" w:cs="Arial" w:ascii="Arial" w:hAnsi="Arial"/>
                <w:kern w:val="0"/>
                <w:sz w:val="24"/>
                <w:szCs w:val="24"/>
                <w:lang w:val="es-ES" w:eastAsia="es-ES" w:bidi="ar-SA"/>
              </w:rPr>
              <w:t>3.2</w:t>
            </w:r>
          </w:p>
        </w:tc>
      </w:tr>
    </w:tbl>
    <w:p>
      <w:pPr>
        <w:pStyle w:val="Normal"/>
        <w:spacing w:lineRule="auto" w:line="271" w:before="0" w:after="245"/>
        <w:ind w:right="36" w:hanging="0"/>
        <w:jc w:val="both"/>
        <w:rPr>
          <w:rFonts w:ascii="Arial" w:hAnsi="Arial" w:eastAsia="Arial" w:cs="Arial"/>
          <w:color w:val="181717"/>
          <w:sz w:val="24"/>
          <w:szCs w:val="24"/>
          <w:lang w:eastAsia="es-ES"/>
        </w:rPr>
      </w:pPr>
      <w:bookmarkStart w:id="6" w:name="_Hlk102341430"/>
      <w:bookmarkStart w:id="7" w:name="_Hlk102377137"/>
      <w:bookmarkEnd w:id="6"/>
      <w:r>
        <w:rPr>
          <w:rFonts w:cs="Arial" w:ascii="Arial" w:hAnsi="Arial"/>
          <w:sz w:val="24"/>
          <w:szCs w:val="24"/>
        </w:rPr>
        <w:t>Fuente: Historia Clínica Individual</w:t>
      </w:r>
      <w:bookmarkEnd w:id="7"/>
    </w:p>
    <w:p>
      <w:pPr>
        <w:pStyle w:val="Normal"/>
        <w:spacing w:lineRule="auto" w:line="264" w:before="0" w:after="0"/>
        <w:ind w:left="-2"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0"/>
        <w:ind w:left="-2"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0"/>
        <w:ind w:left="-2"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0"/>
        <w:ind w:left="-2"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0"/>
        <w:ind w:left="-2"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0"/>
        <w:ind w:left="-2"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0"/>
        <w:ind w:left="-2"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0"/>
        <w:ind w:left="-2" w:hanging="10"/>
        <w:jc w:val="both"/>
        <w:rPr>
          <w:rFonts w:ascii="Arial" w:hAnsi="Arial" w:eastAsia="Calibri" w:cs="Arial"/>
          <w:color w:val="000000"/>
          <w:sz w:val="24"/>
          <w:szCs w:val="24"/>
          <w:lang w:eastAsia="es-ES"/>
        </w:rPr>
      </w:pPr>
      <w:r>
        <w:rPr>
          <w:rFonts w:eastAsia="Arial" w:cs="Arial" w:ascii="Arial" w:hAnsi="Arial"/>
          <w:b/>
          <w:color w:val="181717"/>
          <w:sz w:val="24"/>
          <w:szCs w:val="24"/>
          <w:lang w:eastAsia="es-ES"/>
        </w:rPr>
        <w:t>Tabla 3. Tratamiento realizado en los pacientes con LES fallecidos en el Hospital Clínico Quirúrgico Lucia Iñiguez Landín</w:t>
      </w:r>
      <w:r>
        <w:rPr>
          <w:rFonts w:eastAsia="Arial" w:cs="Arial" w:ascii="Arial" w:hAnsi="Arial"/>
          <w:color w:val="181717"/>
          <w:sz w:val="24"/>
          <w:szCs w:val="24"/>
          <w:lang w:eastAsia="es-ES"/>
        </w:rPr>
        <w:t>.</w:t>
      </w:r>
    </w:p>
    <w:p>
      <w:pPr>
        <w:pStyle w:val="Normal"/>
        <w:spacing w:lineRule="auto" w:line="276" w:before="0" w:after="239"/>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tbl>
      <w:tblPr>
        <w:tblStyle w:val="TableGrid"/>
        <w:tblW w:w="5457" w:type="dxa"/>
        <w:jc w:val="left"/>
        <w:tblInd w:w="32" w:type="dxa"/>
        <w:tblLayout w:type="fixed"/>
        <w:tblCellMar>
          <w:top w:w="23" w:type="dxa"/>
          <w:left w:w="115" w:type="dxa"/>
          <w:bottom w:w="8" w:type="dxa"/>
          <w:right w:w="115" w:type="dxa"/>
        </w:tblCellMar>
        <w:tblLook w:val="04a0" w:noHBand="0" w:noVBand="1" w:firstColumn="1" w:lastRow="0" w:lastColumn="0" w:firstRow="1"/>
      </w:tblPr>
      <w:tblGrid>
        <w:gridCol w:w="2430"/>
        <w:gridCol w:w="1507"/>
        <w:gridCol w:w="1520"/>
      </w:tblGrid>
      <w:tr>
        <w:trPr>
          <w:trHeight w:val="343" w:hRule="atLeast"/>
        </w:trPr>
        <w:tc>
          <w:tcPr>
            <w:tcW w:w="2430" w:type="dxa"/>
            <w:tcBorders>
              <w:top w:val="single" w:sz="8" w:space="0" w:color="181717"/>
              <w:bottom w:val="single" w:sz="8" w:space="0" w:color="181717"/>
              <w:right w:val="single" w:sz="2" w:space="0" w:color="181717"/>
            </w:tcBorders>
          </w:tcPr>
          <w:p>
            <w:pPr>
              <w:pStyle w:val="Normal"/>
              <w:widowControl/>
              <w:spacing w:lineRule="auto" w:line="240" w:before="0" w:after="0"/>
              <w:ind w:right="39" w:hanging="0"/>
              <w:jc w:val="center"/>
              <w:rPr>
                <w:rFonts w:ascii="Arial" w:hAnsi="Arial" w:eastAsia="Calibri" w:cs="Arial"/>
                <w:color w:val="000000"/>
                <w:sz w:val="24"/>
                <w:szCs w:val="24"/>
              </w:rPr>
            </w:pPr>
            <w:bookmarkStart w:id="8" w:name="_Hlk102341876"/>
            <w:r>
              <w:rPr>
                <w:rFonts w:eastAsia="Arial" w:cs="Arial" w:ascii="Arial" w:hAnsi="Arial"/>
                <w:b/>
                <w:color w:val="181717"/>
                <w:kern w:val="0"/>
                <w:sz w:val="24"/>
                <w:szCs w:val="24"/>
                <w:lang w:val="es-ES" w:eastAsia="es-ES" w:bidi="ar-SA"/>
              </w:rPr>
              <w:t>Tratamiento</w:t>
            </w:r>
          </w:p>
        </w:tc>
        <w:tc>
          <w:tcPr>
            <w:tcW w:w="1507" w:type="dxa"/>
            <w:tcBorders>
              <w:top w:val="single" w:sz="8" w:space="0" w:color="181717"/>
              <w:left w:val="single" w:sz="2" w:space="0" w:color="181717"/>
              <w:bottom w:val="single" w:sz="8" w:space="0" w:color="181717"/>
              <w:right w:val="single" w:sz="2" w:space="0" w:color="181717"/>
            </w:tcBorders>
          </w:tcPr>
          <w:p>
            <w:pPr>
              <w:pStyle w:val="Normal"/>
              <w:widowControl/>
              <w:spacing w:lineRule="auto" w:line="240" w:before="0" w:after="0"/>
              <w:ind w:right="10" w:hanging="0"/>
              <w:jc w:val="center"/>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Frecuencia</w:t>
            </w:r>
          </w:p>
        </w:tc>
        <w:tc>
          <w:tcPr>
            <w:tcW w:w="1520" w:type="dxa"/>
            <w:tcBorders>
              <w:top w:val="single" w:sz="8" w:space="0" w:color="181717"/>
              <w:left w:val="single" w:sz="2" w:space="0" w:color="181717"/>
              <w:bottom w:val="single" w:sz="8" w:space="0" w:color="181717"/>
            </w:tcBorders>
          </w:tcPr>
          <w:p>
            <w:pPr>
              <w:pStyle w:val="Normal"/>
              <w:widowControl/>
              <w:spacing w:lineRule="auto" w:line="240" w:before="0" w:after="0"/>
              <w:ind w:left="61" w:hanging="0"/>
              <w:jc w:val="center"/>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Porcentaje</w:t>
            </w:r>
          </w:p>
        </w:tc>
      </w:tr>
      <w:tr>
        <w:trPr>
          <w:trHeight w:val="250" w:hRule="atLeast"/>
        </w:trPr>
        <w:tc>
          <w:tcPr>
            <w:tcW w:w="2430" w:type="dxa"/>
            <w:tcBorders>
              <w:top w:val="single" w:sz="8" w:space="0" w:color="181717"/>
              <w:bottom w:val="single" w:sz="2" w:space="0" w:color="181717"/>
              <w:right w:val="single" w:sz="2" w:space="0" w:color="181717"/>
            </w:tcBorders>
            <w:vAlign w:val="bottom"/>
          </w:tcPr>
          <w:p>
            <w:pPr>
              <w:pStyle w:val="Normal"/>
              <w:widowControl/>
              <w:spacing w:lineRule="auto" w:line="240" w:before="0" w:after="0"/>
              <w:ind w:right="39"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Corticoides</w:t>
            </w:r>
          </w:p>
        </w:tc>
        <w:tc>
          <w:tcPr>
            <w:tcW w:w="1507" w:type="dxa"/>
            <w:tcBorders>
              <w:top w:val="single" w:sz="8" w:space="0" w:color="181717"/>
              <w:left w:val="single" w:sz="2" w:space="0" w:color="181717"/>
              <w:bottom w:val="single" w:sz="2" w:space="0" w:color="181717"/>
              <w:right w:val="single" w:sz="2" w:space="0" w:color="181717"/>
            </w:tcBorders>
            <w:vAlign w:val="bottom"/>
          </w:tcPr>
          <w:p>
            <w:pPr>
              <w:pStyle w:val="Normal"/>
              <w:widowControl/>
              <w:spacing w:lineRule="auto" w:line="240" w:before="0" w:after="0"/>
              <w:ind w:right="10"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155</w:t>
            </w:r>
          </w:p>
        </w:tc>
        <w:tc>
          <w:tcPr>
            <w:tcW w:w="1520" w:type="dxa"/>
            <w:tcBorders>
              <w:top w:val="single" w:sz="8" w:space="0" w:color="181717"/>
              <w:left w:val="single" w:sz="2" w:space="0" w:color="181717"/>
              <w:bottom w:val="single" w:sz="2" w:space="0" w:color="181717"/>
            </w:tcBorders>
            <w:vAlign w:val="bottom"/>
          </w:tcPr>
          <w:p>
            <w:pPr>
              <w:pStyle w:val="Normal"/>
              <w:widowControl/>
              <w:spacing w:lineRule="auto" w:line="240" w:before="0" w:after="0"/>
              <w:ind w:left="61"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100</w:t>
            </w:r>
          </w:p>
        </w:tc>
      </w:tr>
      <w:tr>
        <w:trPr>
          <w:trHeight w:val="170" w:hRule="atLeast"/>
        </w:trPr>
        <w:tc>
          <w:tcPr>
            <w:tcW w:w="2430" w:type="dxa"/>
            <w:tcBorders>
              <w:top w:val="single" w:sz="2" w:space="0" w:color="181717"/>
              <w:bottom w:val="single" w:sz="2" w:space="0" w:color="181717"/>
              <w:right w:val="single" w:sz="2" w:space="0" w:color="181717"/>
            </w:tcBorders>
          </w:tcPr>
          <w:p>
            <w:pPr>
              <w:pStyle w:val="Normal"/>
              <w:widowControl/>
              <w:spacing w:lineRule="auto" w:line="240" w:before="0" w:after="0"/>
              <w:ind w:right="39"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Antibióticos</w:t>
            </w:r>
          </w:p>
        </w:tc>
        <w:tc>
          <w:tcPr>
            <w:tcW w:w="1507"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10"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65</w:t>
            </w:r>
          </w:p>
        </w:tc>
        <w:tc>
          <w:tcPr>
            <w:tcW w:w="1520" w:type="dxa"/>
            <w:tcBorders>
              <w:top w:val="single" w:sz="2" w:space="0" w:color="181717"/>
              <w:left w:val="single" w:sz="2" w:space="0" w:color="181717"/>
              <w:bottom w:val="single" w:sz="2" w:space="0" w:color="181717"/>
            </w:tcBorders>
          </w:tcPr>
          <w:p>
            <w:pPr>
              <w:pStyle w:val="Normal"/>
              <w:widowControl/>
              <w:spacing w:lineRule="auto" w:line="240" w:before="0" w:after="0"/>
              <w:ind w:lef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41.9</w:t>
            </w:r>
          </w:p>
        </w:tc>
      </w:tr>
      <w:tr>
        <w:trPr>
          <w:trHeight w:val="156" w:hRule="atLeast"/>
        </w:trPr>
        <w:tc>
          <w:tcPr>
            <w:tcW w:w="2430" w:type="dxa"/>
            <w:tcBorders>
              <w:top w:val="single" w:sz="2" w:space="0" w:color="181717"/>
              <w:bottom w:val="single" w:sz="2" w:space="0" w:color="181717"/>
              <w:right w:val="single" w:sz="2" w:space="0" w:color="181717"/>
            </w:tcBorders>
          </w:tcPr>
          <w:p>
            <w:pPr>
              <w:pStyle w:val="Normal"/>
              <w:widowControl/>
              <w:spacing w:lineRule="auto" w:line="240" w:before="0" w:after="0"/>
              <w:ind w:right="39"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Cloroquina</w:t>
            </w:r>
          </w:p>
        </w:tc>
        <w:tc>
          <w:tcPr>
            <w:tcW w:w="1507"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10"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32</w:t>
            </w:r>
          </w:p>
        </w:tc>
        <w:tc>
          <w:tcPr>
            <w:tcW w:w="1520" w:type="dxa"/>
            <w:tcBorders>
              <w:top w:val="single" w:sz="2" w:space="0" w:color="181717"/>
              <w:left w:val="single" w:sz="2" w:space="0" w:color="181717"/>
              <w:bottom w:val="single" w:sz="2" w:space="0" w:color="181717"/>
            </w:tcBorders>
          </w:tcPr>
          <w:p>
            <w:pPr>
              <w:pStyle w:val="Normal"/>
              <w:widowControl/>
              <w:spacing w:lineRule="auto" w:line="240" w:before="0" w:after="0"/>
              <w:ind w:lef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20.6</w:t>
            </w:r>
          </w:p>
        </w:tc>
      </w:tr>
      <w:tr>
        <w:trPr>
          <w:trHeight w:val="156" w:hRule="atLeast"/>
        </w:trPr>
        <w:tc>
          <w:tcPr>
            <w:tcW w:w="2430" w:type="dxa"/>
            <w:tcBorders>
              <w:top w:val="single" w:sz="2" w:space="0" w:color="181717"/>
              <w:bottom w:val="single" w:sz="2" w:space="0" w:color="181717"/>
              <w:right w:val="single" w:sz="2" w:space="0" w:color="181717"/>
            </w:tcBorders>
          </w:tcPr>
          <w:p>
            <w:pPr>
              <w:pStyle w:val="Normal"/>
              <w:widowControl/>
              <w:spacing w:lineRule="auto" w:line="240" w:before="0" w:after="0"/>
              <w:ind w:right="39" w:hanging="0"/>
              <w:jc w:val="center"/>
              <w:rPr>
                <w:rFonts w:ascii="Arial" w:hAnsi="Arial" w:eastAsia="Arial" w:cs="Arial"/>
                <w:color w:val="181717"/>
                <w:sz w:val="24"/>
                <w:szCs w:val="24"/>
              </w:rPr>
            </w:pPr>
            <w:r>
              <w:rPr>
                <w:rFonts w:eastAsia="Arial" w:cs="Arial" w:ascii="Arial" w:hAnsi="Arial"/>
                <w:color w:val="181717"/>
                <w:kern w:val="0"/>
                <w:sz w:val="24"/>
                <w:szCs w:val="24"/>
                <w:lang w:val="es-ES" w:eastAsia="es-ES" w:bidi="ar-SA"/>
              </w:rPr>
              <w:t>Azatioprina</w:t>
            </w:r>
          </w:p>
        </w:tc>
        <w:tc>
          <w:tcPr>
            <w:tcW w:w="1507"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10" w:hanging="0"/>
              <w:jc w:val="center"/>
              <w:rPr>
                <w:rFonts w:ascii="Arial" w:hAnsi="Arial" w:eastAsia="Arial" w:cs="Arial"/>
                <w:color w:val="181717"/>
                <w:sz w:val="24"/>
                <w:szCs w:val="24"/>
              </w:rPr>
            </w:pPr>
            <w:r>
              <w:rPr>
                <w:rFonts w:eastAsia="Arial" w:cs="Arial" w:ascii="Arial" w:hAnsi="Arial"/>
                <w:color w:val="181717"/>
                <w:kern w:val="0"/>
                <w:sz w:val="24"/>
                <w:szCs w:val="24"/>
                <w:lang w:val="es-ES" w:eastAsia="es-ES" w:bidi="ar-SA"/>
              </w:rPr>
              <w:t>123</w:t>
            </w:r>
          </w:p>
        </w:tc>
        <w:tc>
          <w:tcPr>
            <w:tcW w:w="1520" w:type="dxa"/>
            <w:tcBorders>
              <w:top w:val="single" w:sz="2" w:space="0" w:color="181717"/>
              <w:left w:val="single" w:sz="2" w:space="0" w:color="181717"/>
              <w:bottom w:val="single" w:sz="2" w:space="0" w:color="181717"/>
            </w:tcBorders>
          </w:tcPr>
          <w:p>
            <w:pPr>
              <w:pStyle w:val="Normal"/>
              <w:widowControl/>
              <w:spacing w:lineRule="auto" w:line="240" w:before="0" w:after="0"/>
              <w:ind w:left="61" w:hanging="0"/>
              <w:jc w:val="center"/>
              <w:rPr>
                <w:rFonts w:ascii="Arial" w:hAnsi="Arial" w:eastAsia="Arial" w:cs="Arial"/>
                <w:color w:val="181717"/>
                <w:sz w:val="24"/>
                <w:szCs w:val="24"/>
              </w:rPr>
            </w:pPr>
            <w:r>
              <w:rPr>
                <w:rFonts w:eastAsia="Arial" w:cs="Arial" w:ascii="Arial" w:hAnsi="Arial"/>
                <w:color w:val="181717"/>
                <w:kern w:val="0"/>
                <w:sz w:val="24"/>
                <w:szCs w:val="24"/>
                <w:lang w:val="es-ES" w:eastAsia="es-ES" w:bidi="ar-SA"/>
              </w:rPr>
              <w:t>79.3</w:t>
            </w:r>
          </w:p>
        </w:tc>
      </w:tr>
      <w:tr>
        <w:trPr>
          <w:trHeight w:val="156" w:hRule="atLeast"/>
        </w:trPr>
        <w:tc>
          <w:tcPr>
            <w:tcW w:w="2430" w:type="dxa"/>
            <w:tcBorders>
              <w:top w:val="single" w:sz="2" w:space="0" w:color="181717"/>
              <w:bottom w:val="single" w:sz="2" w:space="0" w:color="181717"/>
              <w:right w:val="single" w:sz="2" w:space="0" w:color="181717"/>
            </w:tcBorders>
          </w:tcPr>
          <w:p>
            <w:pPr>
              <w:pStyle w:val="Normal"/>
              <w:widowControl/>
              <w:spacing w:lineRule="auto" w:line="240" w:before="0" w:after="0"/>
              <w:ind w:right="39" w:hanging="0"/>
              <w:jc w:val="center"/>
              <w:rPr>
                <w:rFonts w:ascii="Arial" w:hAnsi="Arial" w:eastAsia="Calibri" w:cs="Arial"/>
                <w:b/>
                <w:b/>
                <w:bCs/>
                <w:color w:val="000000"/>
                <w:sz w:val="24"/>
                <w:szCs w:val="24"/>
              </w:rPr>
            </w:pPr>
            <w:r>
              <w:rPr>
                <w:rFonts w:eastAsia="Arial" w:cs="Arial" w:ascii="Arial" w:hAnsi="Arial"/>
                <w:b/>
                <w:bCs/>
                <w:color w:val="181717"/>
                <w:kern w:val="0"/>
                <w:sz w:val="24"/>
                <w:szCs w:val="24"/>
                <w:lang w:val="es-ES" w:eastAsia="es-ES" w:bidi="ar-SA"/>
              </w:rPr>
              <w:t>Inmunosupresores</w:t>
            </w:r>
          </w:p>
        </w:tc>
        <w:tc>
          <w:tcPr>
            <w:tcW w:w="1507"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10"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12</w:t>
            </w:r>
          </w:p>
        </w:tc>
        <w:tc>
          <w:tcPr>
            <w:tcW w:w="1520" w:type="dxa"/>
            <w:tcBorders>
              <w:top w:val="single" w:sz="2" w:space="0" w:color="181717"/>
              <w:left w:val="single" w:sz="2" w:space="0" w:color="181717"/>
              <w:bottom w:val="single" w:sz="2" w:space="0" w:color="181717"/>
            </w:tcBorders>
          </w:tcPr>
          <w:p>
            <w:pPr>
              <w:pStyle w:val="Normal"/>
              <w:widowControl/>
              <w:spacing w:lineRule="auto" w:line="240" w:before="0" w:after="0"/>
              <w:ind w:lef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7.7</w:t>
            </w:r>
          </w:p>
        </w:tc>
      </w:tr>
      <w:tr>
        <w:trPr>
          <w:trHeight w:val="156" w:hRule="atLeast"/>
        </w:trPr>
        <w:tc>
          <w:tcPr>
            <w:tcW w:w="2430" w:type="dxa"/>
            <w:tcBorders>
              <w:top w:val="single" w:sz="2" w:space="0" w:color="181717"/>
              <w:bottom w:val="single" w:sz="2" w:space="0" w:color="181717"/>
              <w:right w:val="single" w:sz="2" w:space="0" w:color="181717"/>
            </w:tcBorders>
          </w:tcPr>
          <w:p>
            <w:pPr>
              <w:pStyle w:val="Normal"/>
              <w:widowControl/>
              <w:spacing w:lineRule="auto" w:line="240" w:before="0" w:after="0"/>
              <w:ind w:right="39"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Ciclofosfamida </w:t>
            </w:r>
          </w:p>
        </w:tc>
        <w:tc>
          <w:tcPr>
            <w:tcW w:w="1507"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10"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7</w:t>
            </w:r>
          </w:p>
        </w:tc>
        <w:tc>
          <w:tcPr>
            <w:tcW w:w="1520" w:type="dxa"/>
            <w:tcBorders>
              <w:top w:val="single" w:sz="2" w:space="0" w:color="181717"/>
              <w:left w:val="single" w:sz="2" w:space="0" w:color="181717"/>
              <w:bottom w:val="single" w:sz="2" w:space="0" w:color="181717"/>
            </w:tcBorders>
          </w:tcPr>
          <w:p>
            <w:pPr>
              <w:pStyle w:val="Normal"/>
              <w:widowControl/>
              <w:spacing w:lineRule="auto" w:line="240" w:before="0" w:after="0"/>
              <w:ind w:lef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4.5</w:t>
            </w:r>
          </w:p>
        </w:tc>
      </w:tr>
      <w:tr>
        <w:trPr>
          <w:trHeight w:val="156" w:hRule="atLeast"/>
        </w:trPr>
        <w:tc>
          <w:tcPr>
            <w:tcW w:w="2430" w:type="dxa"/>
            <w:tcBorders>
              <w:top w:val="single" w:sz="2" w:space="0" w:color="181717"/>
              <w:bottom w:val="single" w:sz="2" w:space="0" w:color="181717"/>
              <w:right w:val="single" w:sz="2" w:space="0" w:color="181717"/>
            </w:tcBorders>
          </w:tcPr>
          <w:p>
            <w:pPr>
              <w:pStyle w:val="Normal"/>
              <w:widowControl/>
              <w:spacing w:lineRule="auto" w:line="240" w:before="0" w:after="0"/>
              <w:ind w:right="39" w:hanging="0"/>
              <w:jc w:val="center"/>
              <w:rPr>
                <w:rFonts w:ascii="Arial" w:hAnsi="Arial" w:eastAsia="Arial" w:cs="Arial"/>
                <w:color w:val="181717"/>
                <w:sz w:val="24"/>
                <w:szCs w:val="24"/>
              </w:rPr>
            </w:pPr>
            <w:r>
              <w:rPr>
                <w:rFonts w:eastAsia="Arial" w:cs="Arial" w:ascii="Arial" w:hAnsi="Arial"/>
                <w:color w:val="181717"/>
                <w:kern w:val="0"/>
                <w:sz w:val="24"/>
                <w:szCs w:val="24"/>
                <w:lang w:val="es-ES" w:eastAsia="es-ES" w:bidi="ar-SA"/>
              </w:rPr>
              <w:t>Micofenolato</w:t>
            </w:r>
          </w:p>
        </w:tc>
        <w:tc>
          <w:tcPr>
            <w:tcW w:w="1507"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10" w:hanging="0"/>
              <w:jc w:val="center"/>
              <w:rPr>
                <w:rFonts w:ascii="Arial" w:hAnsi="Arial" w:eastAsia="Arial" w:cs="Arial"/>
                <w:color w:val="181717"/>
                <w:sz w:val="24"/>
                <w:szCs w:val="24"/>
              </w:rPr>
            </w:pPr>
            <w:r>
              <w:rPr>
                <w:rFonts w:eastAsia="Arial" w:cs="Arial" w:ascii="Arial" w:hAnsi="Arial"/>
                <w:color w:val="181717"/>
                <w:kern w:val="0"/>
                <w:sz w:val="24"/>
                <w:szCs w:val="24"/>
                <w:lang w:val="es-ES" w:eastAsia="es-ES" w:bidi="ar-SA"/>
              </w:rPr>
              <w:t>5</w:t>
            </w:r>
          </w:p>
        </w:tc>
        <w:tc>
          <w:tcPr>
            <w:tcW w:w="1520" w:type="dxa"/>
            <w:tcBorders>
              <w:top w:val="single" w:sz="2" w:space="0" w:color="181717"/>
              <w:left w:val="single" w:sz="2" w:space="0" w:color="181717"/>
              <w:bottom w:val="single" w:sz="2" w:space="0" w:color="181717"/>
            </w:tcBorders>
          </w:tcPr>
          <w:p>
            <w:pPr>
              <w:pStyle w:val="Normal"/>
              <w:widowControl/>
              <w:spacing w:lineRule="auto" w:line="240" w:before="0" w:after="0"/>
              <w:ind w:left="61" w:hanging="0"/>
              <w:jc w:val="center"/>
              <w:rPr>
                <w:rFonts w:ascii="Arial" w:hAnsi="Arial" w:eastAsia="Arial" w:cs="Arial"/>
                <w:color w:val="181717"/>
                <w:sz w:val="24"/>
                <w:szCs w:val="24"/>
              </w:rPr>
            </w:pPr>
            <w:r>
              <w:rPr>
                <w:rFonts w:eastAsia="Arial" w:cs="Arial" w:ascii="Arial" w:hAnsi="Arial"/>
                <w:color w:val="181717"/>
                <w:kern w:val="0"/>
                <w:sz w:val="24"/>
                <w:szCs w:val="24"/>
                <w:lang w:val="es-ES" w:eastAsia="es-ES" w:bidi="ar-SA"/>
              </w:rPr>
              <w:t>3.2</w:t>
            </w:r>
          </w:p>
        </w:tc>
      </w:tr>
      <w:tr>
        <w:trPr>
          <w:trHeight w:val="170" w:hRule="atLeast"/>
        </w:trPr>
        <w:tc>
          <w:tcPr>
            <w:tcW w:w="2430" w:type="dxa"/>
            <w:tcBorders>
              <w:top w:val="single" w:sz="2" w:space="0" w:color="181717"/>
              <w:bottom w:val="single" w:sz="2" w:space="0" w:color="181717"/>
              <w:right w:val="single" w:sz="2" w:space="0" w:color="181717"/>
            </w:tcBorders>
          </w:tcPr>
          <w:p>
            <w:pPr>
              <w:pStyle w:val="Normal"/>
              <w:widowControl/>
              <w:spacing w:lineRule="auto" w:line="240" w:before="0" w:after="0"/>
              <w:ind w:right="39" w:hanging="0"/>
              <w:jc w:val="center"/>
              <w:rPr>
                <w:rFonts w:ascii="Arial" w:hAnsi="Arial" w:eastAsia="Calibri" w:cs="Arial"/>
                <w:b/>
                <w:b/>
                <w:bCs/>
                <w:color w:val="000000"/>
                <w:sz w:val="24"/>
                <w:szCs w:val="24"/>
              </w:rPr>
            </w:pPr>
            <w:r>
              <w:rPr>
                <w:rFonts w:eastAsia="Arial" w:cs="Arial" w:ascii="Arial" w:hAnsi="Arial"/>
                <w:b/>
                <w:bCs/>
                <w:color w:val="181717"/>
                <w:kern w:val="0"/>
                <w:sz w:val="24"/>
                <w:szCs w:val="24"/>
                <w:lang w:val="es-ES" w:eastAsia="es-ES" w:bidi="ar-SA"/>
              </w:rPr>
              <w:t>Hemodiálisis</w:t>
            </w:r>
          </w:p>
        </w:tc>
        <w:tc>
          <w:tcPr>
            <w:tcW w:w="1507"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10"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3</w:t>
            </w:r>
          </w:p>
        </w:tc>
        <w:tc>
          <w:tcPr>
            <w:tcW w:w="1520" w:type="dxa"/>
            <w:tcBorders>
              <w:top w:val="single" w:sz="2" w:space="0" w:color="181717"/>
              <w:left w:val="single" w:sz="2" w:space="0" w:color="181717"/>
              <w:bottom w:val="single" w:sz="2" w:space="0" w:color="181717"/>
            </w:tcBorders>
          </w:tcPr>
          <w:p>
            <w:pPr>
              <w:pStyle w:val="Normal"/>
              <w:widowControl/>
              <w:spacing w:lineRule="auto" w:line="240" w:before="0" w:after="0"/>
              <w:ind w:lef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1.9</w:t>
            </w:r>
          </w:p>
        </w:tc>
      </w:tr>
      <w:tr>
        <w:trPr>
          <w:trHeight w:val="170" w:hRule="atLeast"/>
        </w:trPr>
        <w:tc>
          <w:tcPr>
            <w:tcW w:w="2430" w:type="dxa"/>
            <w:tcBorders>
              <w:top w:val="single" w:sz="2" w:space="0" w:color="181717"/>
              <w:bottom w:val="single" w:sz="2" w:space="0" w:color="181717"/>
              <w:right w:val="single" w:sz="2" w:space="0" w:color="181717"/>
            </w:tcBorders>
          </w:tcPr>
          <w:p>
            <w:pPr>
              <w:pStyle w:val="Normal"/>
              <w:widowControl/>
              <w:spacing w:lineRule="auto" w:line="240" w:before="0" w:after="0"/>
              <w:ind w:right="39"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Tratamiento regular</w:t>
            </w:r>
          </w:p>
        </w:tc>
        <w:tc>
          <w:tcPr>
            <w:tcW w:w="1507"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10"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135</w:t>
            </w:r>
          </w:p>
        </w:tc>
        <w:tc>
          <w:tcPr>
            <w:tcW w:w="1520" w:type="dxa"/>
            <w:tcBorders>
              <w:top w:val="single" w:sz="2" w:space="0" w:color="181717"/>
              <w:left w:val="single" w:sz="2" w:space="0" w:color="181717"/>
              <w:bottom w:val="single" w:sz="2" w:space="0" w:color="181717"/>
            </w:tcBorders>
          </w:tcPr>
          <w:p>
            <w:pPr>
              <w:pStyle w:val="Normal"/>
              <w:widowControl/>
              <w:spacing w:lineRule="auto" w:line="240" w:before="0" w:after="0"/>
              <w:ind w:lef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87</w:t>
            </w:r>
          </w:p>
        </w:tc>
      </w:tr>
      <w:tr>
        <w:trPr>
          <w:trHeight w:val="184" w:hRule="atLeast"/>
        </w:trPr>
        <w:tc>
          <w:tcPr>
            <w:tcW w:w="2430" w:type="dxa"/>
            <w:tcBorders>
              <w:top w:val="single" w:sz="2" w:space="0" w:color="181717"/>
              <w:bottom w:val="single" w:sz="8" w:space="0" w:color="181717"/>
              <w:right w:val="single" w:sz="2" w:space="0" w:color="181717"/>
            </w:tcBorders>
          </w:tcPr>
          <w:p>
            <w:pPr>
              <w:pStyle w:val="Normal"/>
              <w:widowControl/>
              <w:spacing w:lineRule="auto" w:line="240" w:before="0" w:after="0"/>
              <w:ind w:right="38" w:hanging="0"/>
              <w:jc w:val="center"/>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Abandono del tratamiento</w:t>
            </w:r>
          </w:p>
        </w:tc>
        <w:tc>
          <w:tcPr>
            <w:tcW w:w="1507" w:type="dxa"/>
            <w:tcBorders>
              <w:top w:val="single" w:sz="2" w:space="0" w:color="181717"/>
              <w:left w:val="single" w:sz="2" w:space="0" w:color="181717"/>
              <w:bottom w:val="single" w:sz="8" w:space="0" w:color="181717"/>
              <w:right w:val="single" w:sz="2" w:space="0" w:color="181717"/>
            </w:tcBorders>
          </w:tcPr>
          <w:p>
            <w:pPr>
              <w:pStyle w:val="Normal"/>
              <w:widowControl/>
              <w:spacing w:lineRule="auto" w:line="240" w:before="0" w:after="0"/>
              <w:ind w:right="10"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5</w:t>
            </w:r>
          </w:p>
        </w:tc>
        <w:tc>
          <w:tcPr>
            <w:tcW w:w="1520" w:type="dxa"/>
            <w:tcBorders>
              <w:top w:val="single" w:sz="2" w:space="0" w:color="181717"/>
              <w:left w:val="single" w:sz="2" w:space="0" w:color="181717"/>
              <w:bottom w:val="single" w:sz="8" w:space="0" w:color="181717"/>
            </w:tcBorders>
          </w:tcPr>
          <w:p>
            <w:pPr>
              <w:pStyle w:val="Normal"/>
              <w:widowControl/>
              <w:spacing w:lineRule="auto" w:line="240" w:before="0" w:after="0"/>
              <w:ind w:left="61" w:hanging="0"/>
              <w:jc w:val="center"/>
              <w:rPr>
                <w:rFonts w:ascii="Arial" w:hAnsi="Arial" w:eastAsia="Calibri" w:cs="Arial"/>
                <w:color w:val="000000"/>
                <w:sz w:val="24"/>
                <w:szCs w:val="24"/>
              </w:rPr>
            </w:pPr>
            <w:bookmarkStart w:id="9" w:name="_Hlk102341876"/>
            <w:r>
              <w:rPr>
                <w:rFonts w:eastAsia="Calibri" w:cs="Arial" w:ascii="Arial" w:hAnsi="Arial"/>
                <w:color w:val="000000"/>
                <w:kern w:val="0"/>
                <w:sz w:val="24"/>
                <w:szCs w:val="24"/>
                <w:lang w:val="es-ES" w:eastAsia="es-ES" w:bidi="ar-SA"/>
              </w:rPr>
              <w:t>3.2</w:t>
            </w:r>
            <w:bookmarkEnd w:id="9"/>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bookmarkStart w:id="10" w:name="_Hlk102377172"/>
      <w:r>
        <w:rPr>
          <w:rFonts w:cs="Arial" w:ascii="Arial" w:hAnsi="Arial"/>
          <w:sz w:val="24"/>
          <w:szCs w:val="24"/>
        </w:rPr>
        <w:t>Fuente: Historia Clínica Individual</w:t>
      </w:r>
      <w:bookmarkEnd w:id="10"/>
    </w:p>
    <w:p>
      <w:pPr>
        <w:pStyle w:val="Normal"/>
        <w:spacing w:lineRule="auto" w:line="276" w:before="0" w:after="239"/>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45"/>
        <w:ind w:right="36" w:hanging="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t>En cuanto al tratamiento realizado en los pacientes con LES, todos los pacientes recibieron corticoides (100%), antibióticos el 41.9%, Azatioprina 79.3%, cloroquina el 20.6%, e inmunosupresores el 7.7%. Los inmunosupresores más utilizados fueron la ciclofosfamida 4.5% y el micofenolato con un 3.2%. Mantenían un tratamiento regular el 96.1% de los pacientes y abandonaron el tratamiento el 4.5 % (Ver tabla 3).</w:t>
      </w:r>
    </w:p>
    <w:p>
      <w:pPr>
        <w:pStyle w:val="Normal"/>
        <w:spacing w:lineRule="auto" w:line="271" w:before="0" w:after="245"/>
        <w:ind w:right="36" w:hanging="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45"/>
        <w:ind w:right="36" w:hanging="0"/>
        <w:jc w:val="both"/>
        <w:rPr>
          <w:rFonts w:ascii="Arial" w:hAnsi="Arial" w:eastAsia="Calibri" w:cs="Arial"/>
          <w:b/>
          <w:b/>
          <w:color w:val="000000"/>
          <w:sz w:val="24"/>
          <w:szCs w:val="24"/>
          <w:lang w:eastAsia="es-ES"/>
        </w:rPr>
      </w:pPr>
      <w:r>
        <w:rPr>
          <w:rFonts w:eastAsia="Arial" w:cs="Arial" w:ascii="Arial" w:hAnsi="Arial"/>
          <w:b/>
          <w:color w:val="181717"/>
          <w:sz w:val="24"/>
          <w:szCs w:val="24"/>
        </w:rPr>
        <w:t>Figura 1.  Causas de Mortalidad en pacientes con LES.</w:t>
      </w:r>
    </w:p>
    <w:p>
      <w:pPr>
        <w:pStyle w:val="Normal"/>
        <w:spacing w:lineRule="auto" w:line="276" w:before="0" w:after="239"/>
        <w:ind w:left="23" w:right="36" w:hanging="10"/>
        <w:jc w:val="both"/>
        <w:rPr>
          <w:rFonts w:ascii="Arial" w:hAnsi="Arial" w:eastAsia="Calibri" w:cs="Arial"/>
          <w:color w:val="000000"/>
          <w:sz w:val="24"/>
          <w:szCs w:val="24"/>
          <w:lang w:eastAsia="es-ES"/>
        </w:rPr>
      </w:pPr>
      <w:r>
        <w:rPr/>
        <mc:AlternateContent>
          <mc:Choice Requires="wpg">
            <w:drawing>
              <wp:inline distT="0" distB="0" distL="0" distR="0" wp14:anchorId="4C4BB0B3">
                <wp:extent cx="3729990" cy="1527175"/>
                <wp:effectExtent l="0" t="0" r="0" b="0"/>
                <wp:docPr id="2" name="Forma1"/>
                <a:graphic xmlns:a="http://schemas.openxmlformats.org/drawingml/2006/main">
                  <a:graphicData uri="http://schemas.microsoft.com/office/word/2010/wordprocessingGroup">
                    <wpg:wgp>
                      <wpg:cNvGrpSpPr/>
                      <wpg:grpSpPr>
                        <a:xfrm>
                          <a:off x="0" y="0"/>
                          <a:ext cx="3729960" cy="1527120"/>
                          <a:chOff x="0" y="0"/>
                          <a:chExt cx="3729960" cy="1527120"/>
                        </a:xfrm>
                      </wpg:grpSpPr>
                      <wps:wsp>
                        <wps:cNvSpPr/>
                        <wps:spPr>
                          <a:xfrm>
                            <a:off x="298440" y="193680"/>
                            <a:ext cx="720000" cy="11988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Otras causas</w:t>
                              </w:r>
                            </w:p>
                          </w:txbxContent>
                        </wps:txbx>
                        <wps:bodyPr horzOverflow="overflow" lIns="0" rIns="0" tIns="0" bIns="0" anchor="t">
                          <a:noAutofit/>
                        </wps:bodyPr>
                      </wps:wsp>
                      <wps:wsp>
                        <wps:cNvSpPr/>
                        <wps:spPr>
                          <a:xfrm>
                            <a:off x="0" y="575280"/>
                            <a:ext cx="847080" cy="1987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Causa Infecciosa</w:t>
                              </w:r>
                            </w:p>
                          </w:txbxContent>
                        </wps:txbx>
                        <wps:bodyPr horzOverflow="overflow" lIns="0" rIns="0" tIns="0" bIns="0" anchor="t">
                          <a:noAutofit/>
                        </wps:bodyPr>
                      </wps:wsp>
                      <wps:wsp>
                        <wps:cNvSpPr/>
                        <wps:spPr>
                          <a:xfrm>
                            <a:off x="9360" y="1057320"/>
                            <a:ext cx="810360" cy="32328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Actividad del LES</w:t>
                              </w:r>
                            </w:p>
                          </w:txbxContent>
                        </wps:txbx>
                        <wps:bodyPr horzOverflow="overflow" lIns="0" rIns="0" tIns="0" bIns="0" anchor="t">
                          <a:noAutofit/>
                        </wps:bodyPr>
                      </wps:wsp>
                      <wps:wsp>
                        <wps:cNvSpPr/>
                        <wps:spPr>
                          <a:xfrm>
                            <a:off x="333252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361008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278820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306576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224424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252144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196596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224424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143244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171000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88776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1166040" y="0"/>
                            <a:ext cx="720" cy="1355760"/>
                          </a:xfrm>
                          <a:custGeom>
                            <a:avLst/>
                            <a:gdLst/>
                            <a:ahLst/>
                            <a:rect l="l" t="t" r="r" b="b"/>
                            <a:pathLst>
                              <a:path w="0" h="1004697">
                                <a:moveTo>
                                  <a:pt x="0" y="0"/>
                                </a:moveTo>
                                <a:lnTo>
                                  <a:pt x="0" y="1004697"/>
                                </a:lnTo>
                              </a:path>
                            </a:pathLst>
                          </a:custGeom>
                          <a:noFill/>
                          <a:ln w="3175">
                            <a:solidFill>
                              <a:srgbClr val="181717"/>
                            </a:solidFill>
                            <a:miter/>
                          </a:ln>
                        </wps:spPr>
                        <wps:style>
                          <a:lnRef idx="0"/>
                          <a:fillRef idx="0"/>
                          <a:effectRef idx="0"/>
                          <a:fontRef idx="minor"/>
                        </wps:style>
                        <wps:bodyPr/>
                      </wps:wsp>
                      <wps:wsp>
                        <wps:cNvSpPr/>
                        <wps:spPr>
                          <a:xfrm>
                            <a:off x="1276200" y="193680"/>
                            <a:ext cx="18684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1.2%</w:t>
                              </w:r>
                            </w:p>
                          </w:txbxContent>
                        </wps:txbx>
                        <wps:bodyPr horzOverflow="overflow" lIns="0" rIns="0" tIns="0" bIns="0" anchor="t">
                          <a:noAutofit/>
                        </wps:bodyPr>
                      </wps:wsp>
                      <wps:wsp>
                        <wps:cNvSpPr/>
                        <wps:spPr>
                          <a:xfrm>
                            <a:off x="1419120" y="19368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flipH="1">
                            <a:off x="3006000" y="641880"/>
                            <a:ext cx="45000" cy="4500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12</w:t>
                              </w:r>
                            </w:p>
                          </w:txbxContent>
                        </wps:txbx>
                        <wps:bodyPr horzOverflow="overflow" lIns="0" rIns="0" tIns="0" bIns="0" anchor="t">
                          <a:noAutofit/>
                        </wps:bodyPr>
                      </wps:wsp>
                      <wps:wsp>
                        <wps:cNvSpPr/>
                        <wps:spPr>
                          <a:xfrm>
                            <a:off x="1425600" y="641880"/>
                            <a:ext cx="348480" cy="16128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5.8%</w:t>
                              </w:r>
                            </w:p>
                          </w:txbxContent>
                        </wps:txbx>
                        <wps:bodyPr horzOverflow="overflow" lIns="0" rIns="0" tIns="0" bIns="0" anchor="t">
                          <a:noAutofit/>
                        </wps:bodyPr>
                      </wps:wsp>
                      <wps:wsp>
                        <wps:cNvSpPr/>
                        <wps:spPr>
                          <a:xfrm>
                            <a:off x="2014200" y="113292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18</w:t>
                              </w:r>
                            </w:p>
                          </w:txbxContent>
                        </wps:txbx>
                        <wps:bodyPr horzOverflow="overflow" lIns="0" rIns="0" tIns="0" bIns="0" anchor="t">
                          <a:noAutofit/>
                        </wps:bodyPr>
                      </wps:wsp>
                      <wps:wsp>
                        <wps:cNvSpPr/>
                        <wps:spPr>
                          <a:xfrm>
                            <a:off x="2110680" y="1152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820440" y="1395000"/>
                            <a:ext cx="691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0</w:t>
                              </w:r>
                            </w:p>
                          </w:txbxContent>
                        </wps:txbx>
                        <wps:bodyPr horzOverflow="overflow" lIns="0" rIns="0" tIns="0" bIns="0" anchor="t">
                          <a:noAutofit/>
                        </wps:bodyPr>
                      </wps:wsp>
                      <wps:wsp>
                        <wps:cNvSpPr/>
                        <wps:spPr>
                          <a:xfrm>
                            <a:off x="87264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1098720" y="1395000"/>
                            <a:ext cx="691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5</w:t>
                              </w:r>
                            </w:p>
                          </w:txbxContent>
                        </wps:txbx>
                        <wps:bodyPr horzOverflow="overflow" lIns="0" rIns="0" tIns="0" bIns="0" anchor="t">
                          <a:noAutofit/>
                        </wps:bodyPr>
                      </wps:wsp>
                      <wps:wsp>
                        <wps:cNvSpPr/>
                        <wps:spPr>
                          <a:xfrm>
                            <a:off x="114984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133920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10</w:t>
                              </w:r>
                            </w:p>
                          </w:txbxContent>
                        </wps:txbx>
                        <wps:bodyPr horzOverflow="overflow" lIns="0" rIns="0" tIns="0" bIns="0" anchor="t">
                          <a:noAutofit/>
                        </wps:bodyPr>
                      </wps:wsp>
                      <wps:wsp>
                        <wps:cNvSpPr/>
                        <wps:spPr>
                          <a:xfrm>
                            <a:off x="144288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161676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15</w:t>
                              </w:r>
                            </w:p>
                          </w:txbxContent>
                        </wps:txbx>
                        <wps:bodyPr horzOverflow="overflow" lIns="0" rIns="0" tIns="0" bIns="0" anchor="t">
                          <a:noAutofit/>
                        </wps:bodyPr>
                      </wps:wsp>
                      <wps:wsp>
                        <wps:cNvSpPr/>
                        <wps:spPr>
                          <a:xfrm>
                            <a:off x="172008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187128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20</w:t>
                              </w:r>
                            </w:p>
                          </w:txbxContent>
                        </wps:txbx>
                        <wps:bodyPr horzOverflow="overflow" lIns="0" rIns="0" tIns="0" bIns="0" anchor="t">
                          <a:noAutofit/>
                        </wps:bodyPr>
                      </wps:wsp>
                      <wps:wsp>
                        <wps:cNvSpPr/>
                        <wps:spPr>
                          <a:xfrm>
                            <a:off x="197496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214956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25</w:t>
                              </w:r>
                            </w:p>
                          </w:txbxContent>
                        </wps:txbx>
                        <wps:bodyPr horzOverflow="overflow" lIns="0" rIns="0" tIns="0" bIns="0" anchor="t">
                          <a:noAutofit/>
                        </wps:bodyPr>
                      </wps:wsp>
                      <wps:wsp>
                        <wps:cNvSpPr/>
                        <wps:spPr>
                          <a:xfrm>
                            <a:off x="225288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242712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30</w:t>
                              </w:r>
                            </w:p>
                          </w:txbxContent>
                        </wps:txbx>
                        <wps:bodyPr horzOverflow="overflow" lIns="0" rIns="0" tIns="0" bIns="0" anchor="t">
                          <a:noAutofit/>
                        </wps:bodyPr>
                      </wps:wsp>
                      <wps:wsp>
                        <wps:cNvSpPr/>
                        <wps:spPr>
                          <a:xfrm>
                            <a:off x="253044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279720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269352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35</w:t>
                              </w:r>
                            </w:p>
                          </w:txbxContent>
                        </wps:txbx>
                        <wps:bodyPr horzOverflow="overflow" lIns="0" rIns="0" tIns="0" bIns="0" anchor="t">
                          <a:noAutofit/>
                        </wps:bodyPr>
                      </wps:wsp>
                      <wps:wsp>
                        <wps:cNvSpPr/>
                        <wps:spPr>
                          <a:xfrm>
                            <a:off x="297108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40</w:t>
                              </w:r>
                            </w:p>
                          </w:txbxContent>
                        </wps:txbx>
                        <wps:bodyPr horzOverflow="overflow" lIns="0" rIns="0" tIns="0" bIns="0" anchor="t">
                          <a:noAutofit/>
                        </wps:bodyPr>
                      </wps:wsp>
                      <wps:wsp>
                        <wps:cNvSpPr/>
                        <wps:spPr>
                          <a:xfrm>
                            <a:off x="307476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323784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45</w:t>
                              </w:r>
                            </w:p>
                          </w:txbxContent>
                        </wps:txbx>
                        <wps:bodyPr horzOverflow="overflow" lIns="0" rIns="0" tIns="0" bIns="0" anchor="t">
                          <a:noAutofit/>
                        </wps:bodyPr>
                      </wps:wsp>
                      <wps:wsp>
                        <wps:cNvSpPr/>
                        <wps:spPr>
                          <a:xfrm>
                            <a:off x="334152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3515400" y="1395000"/>
                            <a:ext cx="13788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50</w:t>
                              </w:r>
                            </w:p>
                          </w:txbxContent>
                        </wps:txbx>
                        <wps:bodyPr horzOverflow="overflow" lIns="0" rIns="0" tIns="0" bIns="0" anchor="t">
                          <a:noAutofit/>
                        </wps:bodyPr>
                      </wps:wsp>
                      <wps:wsp>
                        <wps:cNvSpPr/>
                        <wps:spPr>
                          <a:xfrm>
                            <a:off x="3619440" y="1395000"/>
                            <a:ext cx="110520" cy="132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wps:txbx>
                        <wps:bodyPr horzOverflow="overflow" lIns="0" rIns="0" tIns="0" bIns="0" anchor="t">
                          <a:noAutofit/>
                        </wps:bodyPr>
                      </wps:wsp>
                      <wps:wsp>
                        <wps:cNvSpPr/>
                        <wps:spPr>
                          <a:xfrm>
                            <a:off x="892800" y="162000"/>
                            <a:ext cx="106560" cy="151920"/>
                          </a:xfrm>
                          <a:custGeom>
                            <a:avLst/>
                            <a:gdLst/>
                            <a:ahLst/>
                            <a:rect l="l" t="t" r="r" b="b"/>
                            <a:pathLst>
                              <a:path w="871195" h="154787">
                                <a:moveTo>
                                  <a:pt x="0" y="0"/>
                                </a:moveTo>
                                <a:lnTo>
                                  <a:pt x="871195" y="0"/>
                                </a:lnTo>
                                <a:lnTo>
                                  <a:pt x="871195" y="154787"/>
                                </a:lnTo>
                                <a:lnTo>
                                  <a:pt x="0" y="154787"/>
                                </a:lnTo>
                                <a:lnTo>
                                  <a:pt x="0" y="0"/>
                                </a:lnTo>
                              </a:path>
                            </a:pathLst>
                          </a:custGeom>
                          <a:solidFill>
                            <a:srgbClr val="878887"/>
                          </a:solidFill>
                          <a:ln w="0">
                            <a:noFill/>
                          </a:ln>
                        </wps:spPr>
                        <wps:style>
                          <a:lnRef idx="0"/>
                          <a:fillRef idx="0"/>
                          <a:effectRef idx="0"/>
                          <a:fontRef idx="minor"/>
                        </wps:style>
                        <wps:bodyPr/>
                      </wps:wsp>
                      <wps:wsp>
                        <wps:cNvSpPr/>
                        <wps:spPr>
                          <a:xfrm>
                            <a:off x="892080" y="619200"/>
                            <a:ext cx="412200" cy="189720"/>
                          </a:xfrm>
                          <a:custGeom>
                            <a:avLst/>
                            <a:gdLst/>
                            <a:ahLst/>
                            <a:rect l="l" t="t" r="r" b="b"/>
                            <a:pathLst>
                              <a:path w="1573200" h="154788">
                                <a:moveTo>
                                  <a:pt x="0" y="0"/>
                                </a:moveTo>
                                <a:lnTo>
                                  <a:pt x="1573200" y="0"/>
                                </a:lnTo>
                                <a:lnTo>
                                  <a:pt x="1573200" y="154788"/>
                                </a:lnTo>
                                <a:lnTo>
                                  <a:pt x="0" y="154788"/>
                                </a:lnTo>
                                <a:lnTo>
                                  <a:pt x="0" y="0"/>
                                </a:lnTo>
                              </a:path>
                            </a:pathLst>
                          </a:custGeom>
                          <a:solidFill>
                            <a:srgbClr val="878887"/>
                          </a:solidFill>
                          <a:ln w="0">
                            <a:noFill/>
                          </a:ln>
                        </wps:spPr>
                        <wps:style>
                          <a:lnRef idx="0"/>
                          <a:fillRef idx="0"/>
                          <a:effectRef idx="0"/>
                          <a:fontRef idx="minor"/>
                        </wps:style>
                        <wps:bodyPr/>
                      </wps:wsp>
                      <wps:wsp>
                        <wps:cNvSpPr/>
                        <wps:spPr>
                          <a:xfrm>
                            <a:off x="892080" y="1095480"/>
                            <a:ext cx="938520" cy="260280"/>
                          </a:xfrm>
                          <a:custGeom>
                            <a:avLst/>
                            <a:gdLst/>
                            <a:ahLst/>
                            <a:rect l="l" t="t" r="r" b="b"/>
                            <a:pathLst>
                              <a:path w="1933194" h="154787">
                                <a:moveTo>
                                  <a:pt x="0" y="0"/>
                                </a:moveTo>
                                <a:lnTo>
                                  <a:pt x="1933194" y="0"/>
                                </a:lnTo>
                                <a:lnTo>
                                  <a:pt x="1933194" y="154787"/>
                                </a:lnTo>
                                <a:lnTo>
                                  <a:pt x="0" y="154787"/>
                                </a:lnTo>
                                <a:lnTo>
                                  <a:pt x="0" y="0"/>
                                </a:lnTo>
                              </a:path>
                            </a:pathLst>
                          </a:custGeom>
                          <a:solidFill>
                            <a:srgbClr val="878887"/>
                          </a:solidFill>
                          <a:ln w="0">
                            <a:noFill/>
                          </a:ln>
                        </wps:spPr>
                        <wps:style>
                          <a:lnRef idx="0"/>
                          <a:fillRef idx="0"/>
                          <a:effectRef idx="0"/>
                          <a:fontRef idx="minor"/>
                        </wps:style>
                        <wps:bodyPr/>
                      </wps:wsp>
                    </wpg:wgp>
                  </a:graphicData>
                </a:graphic>
              </wp:inline>
            </w:drawing>
          </mc:Choice>
          <mc:Fallback>
            <w:pict>
              <v:group id="shape_0" alt="Forma1" style="position:absolute;margin-left:0pt;margin-top:-120.3pt;width:293.7pt;height:120.25pt" coordorigin="0,-2406" coordsize="5874,2405">
                <v:rect id="shape_0" ID="Rectangle 816" path="m0,0l-2147483645,0l-2147483645,-2147483646l0,-2147483646xe" stroked="f" o:allowincell="f" style="position:absolute;left:470;top:-2101;width:1133;height:188;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Otras causas</w:t>
                        </w:r>
                      </w:p>
                    </w:txbxContent>
                  </v:textbox>
                  <v:fill o:detectmouseclick="t" on="false"/>
                  <v:stroke color="#3465a4" joinstyle="round" endcap="flat"/>
                  <w10:wrap type="square"/>
                </v:rect>
                <v:rect id="shape_0" ID="Rectangle 817" path="m0,0l-2147483645,0l-2147483645,-2147483646l0,-2147483646xe" stroked="f" o:allowincell="f" style="position:absolute;left:0;top:-1500;width:1333;height:312;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Causa Infecciosa</w:t>
                        </w:r>
                      </w:p>
                    </w:txbxContent>
                  </v:textbox>
                  <v:fill o:detectmouseclick="t" on="false"/>
                  <v:stroke color="#3465a4" joinstyle="round" endcap="flat"/>
                  <w10:wrap type="square"/>
                </v:rect>
                <v:rect id="shape_0" ID="Rectangle 818" path="m0,0l-2147483645,0l-2147483645,-2147483646l0,-2147483646xe" stroked="f" o:allowincell="f" style="position:absolute;left:15;top:-741;width:1275;height:508;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Actividad del LES</w:t>
                        </w:r>
                      </w:p>
                    </w:txbxContent>
                  </v:textbox>
                  <v:fill o:detectmouseclick="t" on="false"/>
                  <v:stroke color="#3465a4" joinstyle="round" endcap="flat"/>
                  <w10:wrap type="square"/>
                </v:rect>
                <v:rect id="shape_0" ID="Rectangle 18788" path="m0,0l-2147483645,0l-2147483645,-2147483646l0,-2147483646xe" stroked="f" o:allowincell="f" style="position:absolute;left:2010;top:-2101;width:29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1.2%</w:t>
                        </w:r>
                      </w:p>
                    </w:txbxContent>
                  </v:textbox>
                  <v:fill o:detectmouseclick="t" on="false"/>
                  <v:stroke color="#3465a4" joinstyle="round" endcap="flat"/>
                  <w10:wrap type="square"/>
                </v:rect>
                <v:rect id="shape_0" ID="Rectangle 18789" path="m0,0l-2147483645,0l-2147483645,-2147483646l0,-2147483646xe" stroked="f" o:allowincell="f" style="position:absolute;left:2235;top:-2101;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790" path="m0,0l-2147483645,0l-2147483645,-2147483646l0,-2147483646xe" stroked="f" o:allowincell="f" style="position:absolute;left:4734;top:-1395;width:70;height:70;flip:x;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12</w:t>
                        </w:r>
                      </w:p>
                    </w:txbxContent>
                  </v:textbox>
                  <v:fill o:detectmouseclick="t" on="false"/>
                  <v:stroke color="#3465a4" joinstyle="round" endcap="flat"/>
                  <w10:wrap type="square"/>
                </v:rect>
                <v:rect id="shape_0" ID="Rectangle 18791" path="m0,0l-2147483645,0l-2147483645,-2147483646l0,-2147483646xe" stroked="f" o:allowincell="f" style="position:absolute;left:2245;top:-1395;width:548;height:253;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5.8%</w:t>
                        </w:r>
                      </w:p>
                    </w:txbxContent>
                  </v:textbox>
                  <v:fill o:detectmouseclick="t" on="false"/>
                  <v:stroke color="#3465a4" joinstyle="round" endcap="flat"/>
                  <w10:wrap type="square"/>
                </v:rect>
                <v:rect id="shape_0" ID="Rectangle 18792" path="m0,0l-2147483645,0l-2147483645,-2147483646l0,-2147483646xe" stroked="f" o:allowincell="f" style="position:absolute;left:3172;top:-622;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18</w:t>
                        </w:r>
                      </w:p>
                    </w:txbxContent>
                  </v:textbox>
                  <v:fill o:detectmouseclick="t" on="false"/>
                  <v:stroke color="#3465a4" joinstyle="round" endcap="flat"/>
                  <w10:wrap type="square"/>
                </v:rect>
                <v:rect id="shape_0" ID="Rectangle 18793" path="m0,0l-2147483645,0l-2147483645,-2147483646l0,-2147483646xe" stroked="f" o:allowincell="f" style="position:absolute;left:3324;top:-592;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794" path="m0,0l-2147483645,0l-2147483645,-2147483646l0,-2147483646xe" stroked="f" o:allowincell="f" style="position:absolute;left:1292;top:-209;width:108;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0</w:t>
                        </w:r>
                      </w:p>
                    </w:txbxContent>
                  </v:textbox>
                  <v:fill o:detectmouseclick="t" on="false"/>
                  <v:stroke color="#3465a4" joinstyle="round" endcap="flat"/>
                  <w10:wrap type="square"/>
                </v:rect>
                <v:rect id="shape_0" ID="Rectangle 18795" path="m0,0l-2147483645,0l-2147483645,-2147483646l0,-2147483646xe" stroked="f" o:allowincell="f" style="position:absolute;left:1374;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796" path="m0,0l-2147483645,0l-2147483645,-2147483646l0,-2147483646xe" stroked="f" o:allowincell="f" style="position:absolute;left:1730;top:-209;width:108;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5</w:t>
                        </w:r>
                      </w:p>
                    </w:txbxContent>
                  </v:textbox>
                  <v:fill o:detectmouseclick="t" on="false"/>
                  <v:stroke color="#3465a4" joinstyle="round" endcap="flat"/>
                  <w10:wrap type="square"/>
                </v:rect>
                <v:rect id="shape_0" ID="Rectangle 18797" path="m0,0l-2147483645,0l-2147483645,-2147483646l0,-2147483646xe" stroked="f" o:allowincell="f" style="position:absolute;left:1811;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798" path="m0,0l-2147483645,0l-2147483645,-2147483646l0,-2147483646xe" stroked="f" o:allowincell="f" style="position:absolute;left:2109;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10</w:t>
                        </w:r>
                      </w:p>
                    </w:txbxContent>
                  </v:textbox>
                  <v:fill o:detectmouseclick="t" on="false"/>
                  <v:stroke color="#3465a4" joinstyle="round" endcap="flat"/>
                  <w10:wrap type="square"/>
                </v:rect>
                <v:rect id="shape_0" ID="Rectangle 18799" path="m0,0l-2147483645,0l-2147483645,-2147483646l0,-2147483646xe" stroked="f" o:allowincell="f" style="position:absolute;left:2272;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800" path="m0,0l-2147483645,0l-2147483645,-2147483646l0,-2147483646xe" stroked="f" o:allowincell="f" style="position:absolute;left:2546;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15</w:t>
                        </w:r>
                      </w:p>
                    </w:txbxContent>
                  </v:textbox>
                  <v:fill o:detectmouseclick="t" on="false"/>
                  <v:stroke color="#3465a4" joinstyle="round" endcap="flat"/>
                  <w10:wrap type="square"/>
                </v:rect>
                <v:rect id="shape_0" ID="Rectangle 18801" path="m0,0l-2147483645,0l-2147483645,-2147483646l0,-2147483646xe" stroked="f" o:allowincell="f" style="position:absolute;left:2709;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802" path="m0,0l-2147483645,0l-2147483645,-2147483646l0,-2147483646xe" stroked="f" o:allowincell="f" style="position:absolute;left:2947;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20</w:t>
                        </w:r>
                      </w:p>
                    </w:txbxContent>
                  </v:textbox>
                  <v:fill o:detectmouseclick="t" on="false"/>
                  <v:stroke color="#3465a4" joinstyle="round" endcap="flat"/>
                  <w10:wrap type="square"/>
                </v:rect>
                <v:rect id="shape_0" ID="Rectangle 18803" path="m0,0l-2147483645,0l-2147483645,-2147483646l0,-2147483646xe" stroked="f" o:allowincell="f" style="position:absolute;left:3110;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804" path="m0,0l-2147483645,0l-2147483645,-2147483646l0,-2147483646xe" stroked="f" o:allowincell="f" style="position:absolute;left:3385;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25</w:t>
                        </w:r>
                      </w:p>
                    </w:txbxContent>
                  </v:textbox>
                  <v:fill o:detectmouseclick="t" on="false"/>
                  <v:stroke color="#3465a4" joinstyle="round" endcap="flat"/>
                  <w10:wrap type="square"/>
                </v:rect>
                <v:rect id="shape_0" ID="Rectangle 18805" path="m0,0l-2147483645,0l-2147483645,-2147483646l0,-2147483646xe" stroked="f" o:allowincell="f" style="position:absolute;left:3548;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807" path="m0,0l-2147483645,0l-2147483645,-2147483646l0,-2147483646xe" stroked="f" o:allowincell="f" style="position:absolute;left:3822;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30</w:t>
                        </w:r>
                      </w:p>
                    </w:txbxContent>
                  </v:textbox>
                  <v:fill o:detectmouseclick="t" on="false"/>
                  <v:stroke color="#3465a4" joinstyle="round" endcap="flat"/>
                  <w10:wrap type="square"/>
                </v:rect>
                <v:rect id="shape_0" ID="Rectangle 18808" path="m0,0l-2147483645,0l-2147483645,-2147483646l0,-2147483646xe" stroked="f" o:allowincell="f" style="position:absolute;left:3985;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810" path="m0,0l-2147483645,0l-2147483645,-2147483646l0,-2147483646xe" stroked="f" o:allowincell="f" style="position:absolute;left:4405;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809" path="m0,0l-2147483645,0l-2147483645,-2147483646l0,-2147483646xe" stroked="f" o:allowincell="f" style="position:absolute;left:4242;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35</w:t>
                        </w:r>
                      </w:p>
                    </w:txbxContent>
                  </v:textbox>
                  <v:fill o:detectmouseclick="t" on="false"/>
                  <v:stroke color="#3465a4" joinstyle="round" endcap="flat"/>
                  <w10:wrap type="square"/>
                </v:rect>
                <v:rect id="shape_0" ID="Rectangle 18811" path="m0,0l-2147483645,0l-2147483645,-2147483646l0,-2147483646xe" stroked="f" o:allowincell="f" style="position:absolute;left:4679;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40</w:t>
                        </w:r>
                      </w:p>
                    </w:txbxContent>
                  </v:textbox>
                  <v:fill o:detectmouseclick="t" on="false"/>
                  <v:stroke color="#3465a4" joinstyle="round" endcap="flat"/>
                  <w10:wrap type="square"/>
                </v:rect>
                <v:rect id="shape_0" ID="Rectangle 18812" path="m0,0l-2147483645,0l-2147483645,-2147483646l0,-2147483646xe" stroked="f" o:allowincell="f" style="position:absolute;left:4842;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813" path="m0,0l-2147483645,0l-2147483645,-2147483646l0,-2147483646xe" stroked="f" o:allowincell="f" style="position:absolute;left:5099;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45</w:t>
                        </w:r>
                      </w:p>
                    </w:txbxContent>
                  </v:textbox>
                  <v:fill o:detectmouseclick="t" on="false"/>
                  <v:stroke color="#3465a4" joinstyle="round" endcap="flat"/>
                  <w10:wrap type="square"/>
                </v:rect>
                <v:rect id="shape_0" ID="Rectangle 18814" path="m0,0l-2147483645,0l-2147483645,-2147483646l0,-2147483646xe" stroked="f" o:allowincell="f" style="position:absolute;left:5262;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rect id="shape_0" ID="Rectangle 18815" path="m0,0l-2147483645,0l-2147483645,-2147483646l0,-2147483646xe" stroked="f" o:allowincell="f" style="position:absolute;left:5536;top:-209;width:216;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50</w:t>
                        </w:r>
                      </w:p>
                    </w:txbxContent>
                  </v:textbox>
                  <v:fill o:detectmouseclick="t" on="false"/>
                  <v:stroke color="#3465a4" joinstyle="round" endcap="flat"/>
                  <w10:wrap type="square"/>
                </v:rect>
                <v:rect id="shape_0" ID="Rectangle 18816" path="m0,0l-2147483645,0l-2147483645,-2147483646l0,-2147483646xe" stroked="f" o:allowincell="f" style="position:absolute;left:5700;top:-209;width:173;height:207;mso-wrap-style:square;v-text-anchor:top;mso-position-vertical:top">
                  <v:textbox>
                    <w:txbxContent>
                      <w:p>
                        <w:pPr>
                          <w:overflowPunct w:val="false"/>
                          <w:spacing w:before="0" w:after="0" w:lineRule="auto" w:line="240"/>
                          <w:jc w:val="left"/>
                          <w:rPr/>
                        </w:pPr>
                        <w:r>
                          <w:rPr>
                            <w:smallCaps w:val="false"/>
                            <w:caps w:val="false"/>
                            <w:iCs w:val="false"/>
                            <w:bCs w:val="false"/>
                            <w:szCs w:val="16"/>
                            <w:spacing w:val="0"/>
                            <w:vertAlign w:val="baseline"/>
                            <w:position w:val="0"/>
                            <w:sz w:val="16"/>
                            <w:i w:val="false"/>
                            <w:dstrike w:val="false"/>
                            <w:strike w:val="false"/>
                            <w:u w:val="none"/>
                            <w:b w:val="false"/>
                            <w:sz w:val="16"/>
                            <w:rFonts w:eastAsia="Arial" w:cs="Arial" w:ascii="Arial" w:hAnsi="Arial"/>
                            <w:color w:val="181717"/>
                          </w:rPr>
                          <w:t>%</w:t>
                        </w:r>
                      </w:p>
                    </w:txbxContent>
                  </v:textbox>
                  <v:fill o:detectmouseclick="t" on="false"/>
                  <v:stroke color="#3465a4" joinstyle="round" endcap="flat"/>
                  <w10:wrap type="square"/>
                </v:rect>
              </v:group>
            </w:pict>
          </mc:Fallback>
        </mc:AlternateContent>
      </w:r>
    </w:p>
    <w:p>
      <w:pPr>
        <w:pStyle w:val="Normal"/>
        <w:spacing w:lineRule="auto" w:line="276" w:before="0" w:after="239"/>
        <w:ind w:left="23" w:right="36" w:hanging="10"/>
        <w:jc w:val="both"/>
        <w:rPr>
          <w:rFonts w:ascii="Arial" w:hAnsi="Arial" w:eastAsia="Calibri" w:cs="Arial"/>
          <w:color w:val="000000"/>
          <w:sz w:val="24"/>
          <w:szCs w:val="24"/>
          <w:lang w:eastAsia="es-ES"/>
        </w:rPr>
      </w:pPr>
      <w:r>
        <w:rPr>
          <w:rFonts w:eastAsia="Calibri" w:cs="Arial" w:ascii="Arial" w:hAnsi="Arial"/>
          <w:color w:val="000000"/>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t>Tabla 5. Causas de muerte en pacientes con LES.</w:t>
      </w:r>
    </w:p>
    <w:p>
      <w:pPr>
        <w:pStyle w:val="Normal"/>
        <w:spacing w:lineRule="auto" w:line="264" w:before="0" w:after="1"/>
        <w:ind w:left="23" w:right="24" w:hanging="10"/>
        <w:jc w:val="both"/>
        <w:rPr>
          <w:rFonts w:ascii="Arial" w:hAnsi="Arial" w:eastAsia="Arial" w:cs="Arial"/>
          <w:b/>
          <w:b/>
          <w:color w:val="181717"/>
          <w:sz w:val="24"/>
          <w:szCs w:val="24"/>
          <w:lang w:eastAsia="es-ES"/>
        </w:rPr>
      </w:pPr>
      <w:r>
        <w:rPr>
          <w:rFonts w:eastAsia="Arial" w:cs="Arial" w:ascii="Arial" w:hAnsi="Arial"/>
          <w:b/>
          <w:color w:val="181717"/>
          <w:sz w:val="24"/>
          <w:szCs w:val="24"/>
          <w:lang w:eastAsia="es-ES"/>
        </w:rPr>
      </w:r>
    </w:p>
    <w:tbl>
      <w:tblPr>
        <w:tblStyle w:val="TableGrid"/>
        <w:tblW w:w="4592" w:type="dxa"/>
        <w:jc w:val="left"/>
        <w:tblInd w:w="28" w:type="dxa"/>
        <w:tblLayout w:type="fixed"/>
        <w:tblCellMar>
          <w:top w:w="19" w:type="dxa"/>
          <w:left w:w="99" w:type="dxa"/>
          <w:bottom w:w="6" w:type="dxa"/>
          <w:right w:w="115" w:type="dxa"/>
        </w:tblCellMar>
        <w:tblLook w:val="04a0" w:noHBand="0" w:noVBand="1" w:firstColumn="1" w:lastRow="0" w:lastColumn="0" w:firstRow="1"/>
      </w:tblPr>
      <w:tblGrid>
        <w:gridCol w:w="1575"/>
        <w:gridCol w:w="1561"/>
        <w:gridCol w:w="1456"/>
      </w:tblGrid>
      <w:tr>
        <w:trPr>
          <w:trHeight w:val="343" w:hRule="atLeast"/>
        </w:trPr>
        <w:tc>
          <w:tcPr>
            <w:tcW w:w="1575" w:type="dxa"/>
            <w:tcBorders>
              <w:top w:val="single" w:sz="8" w:space="0" w:color="181717"/>
              <w:bottom w:val="single" w:sz="8" w:space="0" w:color="181717"/>
              <w:right w:val="single" w:sz="2" w:space="0" w:color="181717"/>
            </w:tcBorders>
          </w:tcPr>
          <w:p>
            <w:pPr>
              <w:pStyle w:val="Normal"/>
              <w:widowControl/>
              <w:spacing w:lineRule="auto" w:line="240" w:before="0" w:after="0"/>
              <w:ind w:left="58" w:hanging="0"/>
              <w:jc w:val="center"/>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Causas</w:t>
            </w:r>
          </w:p>
        </w:tc>
        <w:tc>
          <w:tcPr>
            <w:tcW w:w="1561" w:type="dxa"/>
            <w:tcBorders>
              <w:top w:val="single" w:sz="8" w:space="0" w:color="181717"/>
              <w:left w:val="single" w:sz="2" w:space="0" w:color="181717"/>
              <w:bottom w:val="single" w:sz="8" w:space="0" w:color="181717"/>
              <w:right w:val="single" w:sz="2" w:space="0" w:color="181717"/>
            </w:tcBorders>
          </w:tcPr>
          <w:p>
            <w:pPr>
              <w:pStyle w:val="Normal"/>
              <w:widowControl/>
              <w:spacing w:lineRule="auto" w:line="240" w:before="0" w:after="0"/>
              <w:ind w:left="80" w:hanging="0"/>
              <w:jc w:val="left"/>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Frecuencia</w:t>
            </w:r>
          </w:p>
        </w:tc>
        <w:tc>
          <w:tcPr>
            <w:tcW w:w="1456" w:type="dxa"/>
            <w:tcBorders>
              <w:top w:val="single" w:sz="8" w:space="0" w:color="181717"/>
              <w:left w:val="single" w:sz="2" w:space="0" w:color="181717"/>
              <w:bottom w:val="single" w:sz="8"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Porcentaje</w:t>
            </w:r>
          </w:p>
        </w:tc>
      </w:tr>
      <w:tr>
        <w:trPr>
          <w:trHeight w:val="250" w:hRule="atLeast"/>
        </w:trPr>
        <w:tc>
          <w:tcPr>
            <w:tcW w:w="1575" w:type="dxa"/>
            <w:tcBorders>
              <w:top w:val="single" w:sz="8" w:space="0" w:color="181717"/>
              <w:bottom w:val="single" w:sz="2" w:space="0" w:color="181717"/>
              <w:right w:val="single" w:sz="2" w:space="0" w:color="181717"/>
            </w:tcBorders>
          </w:tcPr>
          <w:p>
            <w:pPr>
              <w:pStyle w:val="Normal"/>
              <w:widowControl/>
              <w:spacing w:lineRule="auto" w:line="240" w:before="0" w:after="0"/>
              <w:jc w:val="left"/>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Infecciosa</w:t>
            </w:r>
          </w:p>
        </w:tc>
        <w:tc>
          <w:tcPr>
            <w:tcW w:w="1561" w:type="dxa"/>
            <w:tcBorders>
              <w:top w:val="single" w:sz="8" w:space="0" w:color="181717"/>
              <w:left w:val="single" w:sz="2" w:space="0" w:color="181717"/>
              <w:bottom w:val="single" w:sz="2" w:space="0" w:color="181717"/>
              <w:right w:val="single" w:sz="2" w:space="0" w:color="181717"/>
            </w:tcBorders>
            <w:vAlign w:val="bottom"/>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9</w:t>
            </w:r>
          </w:p>
        </w:tc>
        <w:tc>
          <w:tcPr>
            <w:tcW w:w="1456" w:type="dxa"/>
            <w:tcBorders>
              <w:top w:val="single" w:sz="8" w:space="0" w:color="181717"/>
              <w:left w:val="single" w:sz="2" w:space="0" w:color="181717"/>
              <w:bottom w:val="single" w:sz="2" w:space="0" w:color="181717"/>
            </w:tcBorders>
            <w:vAlign w:val="bottom"/>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5.8</w:t>
            </w:r>
          </w:p>
        </w:tc>
      </w:tr>
      <w:tr>
        <w:trPr>
          <w:trHeight w:val="156" w:hRule="atLeast"/>
        </w:trPr>
        <w:tc>
          <w:tcPr>
            <w:tcW w:w="1575" w:type="dxa"/>
            <w:tcBorders>
              <w:top w:val="single" w:sz="2" w:space="0" w:color="181717"/>
              <w:bottom w:val="single" w:sz="2" w:space="0" w:color="181717"/>
              <w:right w:val="single" w:sz="2" w:space="0" w:color="181717"/>
            </w:tcBorders>
          </w:tcPr>
          <w:p>
            <w:pPr>
              <w:pStyle w:val="Normal"/>
              <w:widowControl/>
              <w:tabs>
                <w:tab w:val="clear" w:pos="708"/>
                <w:tab w:val="center" w:pos="732" w:leader="none"/>
              </w:tabs>
              <w:spacing w:lineRule="auto" w:line="240" w:before="0" w:after="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 xml:space="preserve">Neumonía nosocomial </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5</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3.2</w:t>
            </w:r>
          </w:p>
        </w:tc>
      </w:tr>
      <w:tr>
        <w:trPr>
          <w:trHeight w:val="156" w:hRule="atLeast"/>
        </w:trPr>
        <w:tc>
          <w:tcPr>
            <w:tcW w:w="1575" w:type="dxa"/>
            <w:tcBorders>
              <w:top w:val="single" w:sz="2" w:space="0" w:color="181717"/>
              <w:bottom w:val="single" w:sz="2" w:space="0" w:color="181717"/>
              <w:right w:val="single" w:sz="2" w:space="0" w:color="181717"/>
            </w:tcBorders>
          </w:tcPr>
          <w:p>
            <w:pPr>
              <w:pStyle w:val="Normal"/>
              <w:widowControl/>
              <w:tabs>
                <w:tab w:val="clear" w:pos="708"/>
                <w:tab w:val="center" w:pos="877" w:leader="none"/>
              </w:tabs>
              <w:spacing w:lineRule="auto" w:line="240" w:before="0" w:after="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 xml:space="preserve"> </w:t>
            </w:r>
            <w:r>
              <w:rPr>
                <w:rFonts w:eastAsia="Arial" w:cs="Arial" w:ascii="Arial" w:hAnsi="Arial"/>
                <w:color w:val="181717"/>
                <w:kern w:val="0"/>
                <w:sz w:val="24"/>
                <w:szCs w:val="24"/>
                <w:lang w:val="es-ES" w:eastAsia="es-ES" w:bidi="ar-SA"/>
              </w:rPr>
              <w:tab/>
              <w:t>Neumonía de la comunidad</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3</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1.9</w:t>
            </w:r>
          </w:p>
        </w:tc>
      </w:tr>
      <w:tr>
        <w:trPr>
          <w:trHeight w:val="326" w:hRule="atLeast"/>
        </w:trPr>
        <w:tc>
          <w:tcPr>
            <w:tcW w:w="1575" w:type="dxa"/>
            <w:tcBorders>
              <w:top w:val="single" w:sz="2" w:space="0" w:color="181717"/>
              <w:bottom w:val="single" w:sz="2" w:space="0" w:color="181717"/>
              <w:right w:val="single" w:sz="2" w:space="0" w:color="181717"/>
            </w:tcBorders>
          </w:tcPr>
          <w:p>
            <w:pPr>
              <w:pStyle w:val="Normal"/>
              <w:widowControl/>
              <w:spacing w:lineRule="auto" w:line="240" w:before="0" w:after="0"/>
              <w:jc w:val="left"/>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 xml:space="preserve">Fascitis Necrotizante </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left"/>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 xml:space="preserve">      </w:t>
            </w:r>
            <w:r>
              <w:rPr>
                <w:rFonts w:eastAsia="Calibri" w:cs="Arial" w:ascii="Arial" w:hAnsi="Arial"/>
                <w:color w:val="000000"/>
                <w:kern w:val="0"/>
                <w:sz w:val="24"/>
                <w:szCs w:val="24"/>
                <w:lang w:val="es-ES" w:eastAsia="es-ES" w:bidi="ar-SA"/>
              </w:rPr>
              <w:t>0.6</w:t>
            </w:r>
          </w:p>
        </w:tc>
      </w:tr>
      <w:tr>
        <w:trPr>
          <w:trHeight w:val="170" w:hRule="atLeast"/>
        </w:trPr>
        <w:tc>
          <w:tcPr>
            <w:tcW w:w="1575" w:type="dxa"/>
            <w:tcBorders>
              <w:top w:val="single" w:sz="2" w:space="0" w:color="181717"/>
              <w:bottom w:val="single" w:sz="2" w:space="0" w:color="181717"/>
              <w:right w:val="single" w:sz="2" w:space="0" w:color="181717"/>
            </w:tcBorders>
          </w:tcPr>
          <w:p>
            <w:pPr>
              <w:pStyle w:val="Normal"/>
              <w:widowControl/>
              <w:spacing w:lineRule="auto" w:line="240" w:before="0" w:after="0"/>
              <w:jc w:val="left"/>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Actividad de la enfermedad</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20</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12.9</w:t>
            </w:r>
          </w:p>
        </w:tc>
      </w:tr>
      <w:tr>
        <w:trPr>
          <w:trHeight w:val="156" w:hRule="atLeast"/>
        </w:trPr>
        <w:tc>
          <w:tcPr>
            <w:tcW w:w="1575" w:type="dxa"/>
            <w:tcBorders>
              <w:top w:val="single" w:sz="2" w:space="0" w:color="181717"/>
              <w:bottom w:val="single" w:sz="2" w:space="0" w:color="181717"/>
              <w:right w:val="single" w:sz="2" w:space="0" w:color="181717"/>
            </w:tcBorders>
          </w:tcPr>
          <w:p>
            <w:pPr>
              <w:pStyle w:val="Normal"/>
              <w:widowControl/>
              <w:tabs>
                <w:tab w:val="clear" w:pos="708"/>
                <w:tab w:val="center" w:pos="503" w:leader="none"/>
              </w:tabs>
              <w:spacing w:lineRule="auto" w:line="240" w:before="0" w:after="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Nefritis lúpica</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15</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9.6</w:t>
            </w:r>
          </w:p>
        </w:tc>
      </w:tr>
      <w:tr>
        <w:trPr>
          <w:trHeight w:val="156" w:hRule="atLeast"/>
        </w:trPr>
        <w:tc>
          <w:tcPr>
            <w:tcW w:w="1575" w:type="dxa"/>
            <w:tcBorders>
              <w:top w:val="single" w:sz="2" w:space="0" w:color="181717"/>
              <w:bottom w:val="single" w:sz="2" w:space="0" w:color="181717"/>
              <w:right w:val="single" w:sz="2" w:space="0" w:color="181717"/>
            </w:tcBorders>
          </w:tcPr>
          <w:p>
            <w:pPr>
              <w:pStyle w:val="Normal"/>
              <w:widowControl/>
              <w:tabs>
                <w:tab w:val="clear" w:pos="708"/>
                <w:tab w:val="center" w:pos="517" w:leader="none"/>
              </w:tabs>
              <w:spacing w:lineRule="auto" w:line="240" w:before="0" w:after="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Edema agudo del pulmón</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5</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3.2</w:t>
            </w:r>
          </w:p>
        </w:tc>
      </w:tr>
      <w:tr>
        <w:trPr>
          <w:trHeight w:val="170" w:hRule="atLeast"/>
        </w:trPr>
        <w:tc>
          <w:tcPr>
            <w:tcW w:w="1575" w:type="dxa"/>
            <w:tcBorders>
              <w:top w:val="single" w:sz="2" w:space="0" w:color="181717"/>
              <w:bottom w:val="single" w:sz="2" w:space="0" w:color="181717"/>
              <w:right w:val="single" w:sz="2" w:space="0" w:color="181717"/>
            </w:tcBorders>
          </w:tcPr>
          <w:p>
            <w:pPr>
              <w:pStyle w:val="Normal"/>
              <w:widowControl/>
              <w:tabs>
                <w:tab w:val="clear" w:pos="708"/>
                <w:tab w:val="center" w:pos="632" w:leader="none"/>
              </w:tabs>
              <w:spacing w:lineRule="auto" w:line="240" w:before="0" w:after="0"/>
              <w:jc w:val="left"/>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Estatus convulsivo</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2</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1.2</w:t>
            </w:r>
          </w:p>
        </w:tc>
      </w:tr>
      <w:tr>
        <w:trPr>
          <w:trHeight w:val="156" w:hRule="atLeast"/>
        </w:trPr>
        <w:tc>
          <w:tcPr>
            <w:tcW w:w="1575" w:type="dxa"/>
            <w:tcBorders>
              <w:top w:val="single" w:sz="2" w:space="0" w:color="181717"/>
              <w:bottom w:val="single" w:sz="2" w:space="0" w:color="181717"/>
              <w:right w:val="single" w:sz="2" w:space="0" w:color="181717"/>
            </w:tcBorders>
          </w:tcPr>
          <w:p>
            <w:pPr>
              <w:pStyle w:val="Normal"/>
              <w:widowControl/>
              <w:spacing w:lineRule="auto" w:line="240" w:before="0" w:after="0"/>
              <w:jc w:val="left"/>
              <w:rPr>
                <w:rFonts w:ascii="Arial" w:hAnsi="Arial" w:eastAsia="Calibri" w:cs="Arial"/>
                <w:color w:val="000000"/>
                <w:sz w:val="24"/>
                <w:szCs w:val="24"/>
              </w:rPr>
            </w:pPr>
            <w:r>
              <w:rPr>
                <w:rFonts w:eastAsia="Arial" w:cs="Arial" w:ascii="Arial" w:hAnsi="Arial"/>
                <w:b/>
                <w:color w:val="181717"/>
                <w:kern w:val="0"/>
                <w:sz w:val="24"/>
                <w:szCs w:val="24"/>
                <w:lang w:val="es-ES" w:eastAsia="es-ES" w:bidi="ar-SA"/>
              </w:rPr>
              <w:t>Otras causas</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left"/>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 xml:space="preserve">        </w:t>
            </w:r>
            <w:r>
              <w:rPr>
                <w:rFonts w:eastAsia="Calibri" w:cs="Arial" w:ascii="Arial" w:hAnsi="Arial"/>
                <w:color w:val="000000"/>
                <w:kern w:val="0"/>
                <w:sz w:val="24"/>
                <w:szCs w:val="24"/>
                <w:lang w:val="es-ES" w:eastAsia="es-ES" w:bidi="ar-SA"/>
              </w:rPr>
              <w:t>1</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0.6</w:t>
            </w:r>
          </w:p>
        </w:tc>
      </w:tr>
      <w:tr>
        <w:trPr>
          <w:trHeight w:val="156" w:hRule="atLeast"/>
        </w:trPr>
        <w:tc>
          <w:tcPr>
            <w:tcW w:w="1575" w:type="dxa"/>
            <w:tcBorders>
              <w:top w:val="single" w:sz="2" w:space="0" w:color="181717"/>
              <w:bottom w:val="single" w:sz="2" w:space="0" w:color="181717"/>
              <w:right w:val="single" w:sz="2" w:space="0" w:color="181717"/>
            </w:tcBorders>
          </w:tcPr>
          <w:p>
            <w:pPr>
              <w:pStyle w:val="Normal"/>
              <w:widowControl/>
              <w:tabs>
                <w:tab w:val="clear" w:pos="708"/>
                <w:tab w:val="center" w:pos="622" w:leader="none"/>
              </w:tabs>
              <w:spacing w:lineRule="auto" w:line="240" w:before="0" w:after="0"/>
              <w:jc w:val="left"/>
              <w:rPr>
                <w:rFonts w:ascii="Arial" w:hAnsi="Arial" w:eastAsia="Calibri" w:cs="Arial"/>
                <w:color w:val="000000"/>
                <w:sz w:val="24"/>
                <w:szCs w:val="24"/>
              </w:rPr>
            </w:pPr>
            <w:r>
              <w:rPr>
                <w:rFonts w:eastAsia="Arial" w:cs="Arial" w:ascii="Arial" w:hAnsi="Arial"/>
                <w:color w:val="181717"/>
                <w:kern w:val="0"/>
                <w:sz w:val="24"/>
                <w:szCs w:val="24"/>
                <w:lang w:val="es-ES" w:eastAsia="es-ES" w:bidi="ar-SA"/>
              </w:rPr>
              <w:t>Ictus hemorrágico</w:t>
            </w:r>
          </w:p>
        </w:tc>
        <w:tc>
          <w:tcPr>
            <w:tcW w:w="1561" w:type="dxa"/>
            <w:tcBorders>
              <w:top w:val="single" w:sz="2" w:space="0" w:color="181717"/>
              <w:left w:val="single" w:sz="2" w:space="0" w:color="181717"/>
              <w:bottom w:val="single" w:sz="2" w:space="0" w:color="181717"/>
              <w:right w:val="single" w:sz="2" w:space="0" w:color="181717"/>
            </w:tcBorders>
          </w:tcPr>
          <w:p>
            <w:pPr>
              <w:pStyle w:val="Normal"/>
              <w:widowControl/>
              <w:spacing w:lineRule="auto" w:line="240" w:before="0" w:after="0"/>
              <w:ind w:right="61"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1</w:t>
            </w:r>
          </w:p>
        </w:tc>
        <w:tc>
          <w:tcPr>
            <w:tcW w:w="1456" w:type="dxa"/>
            <w:tcBorders>
              <w:top w:val="single" w:sz="2" w:space="0" w:color="181717"/>
              <w:left w:val="single" w:sz="2" w:space="0" w:color="181717"/>
              <w:bottom w:val="single" w:sz="2" w:space="0" w:color="181717"/>
            </w:tcBorders>
          </w:tcPr>
          <w:p>
            <w:pPr>
              <w:pStyle w:val="Normal"/>
              <w:widowControl/>
              <w:spacing w:lineRule="auto" w:line="240" w:before="0" w:after="0"/>
              <w:ind w:left="13" w:hanging="0"/>
              <w:jc w:val="center"/>
              <w:rPr>
                <w:rFonts w:ascii="Arial" w:hAnsi="Arial" w:eastAsia="Calibri" w:cs="Arial"/>
                <w:color w:val="000000"/>
                <w:sz w:val="24"/>
                <w:szCs w:val="24"/>
              </w:rPr>
            </w:pPr>
            <w:r>
              <w:rPr>
                <w:rFonts w:eastAsia="Calibri" w:cs="Arial" w:ascii="Arial" w:hAnsi="Arial"/>
                <w:color w:val="000000"/>
                <w:kern w:val="0"/>
                <w:sz w:val="24"/>
                <w:szCs w:val="24"/>
                <w:lang w:val="es-ES" w:eastAsia="es-ES" w:bidi="ar-SA"/>
              </w:rPr>
              <w:t>0.6</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Fuente: Historia Clínica Individual</w:t>
      </w:r>
    </w:p>
    <w:p>
      <w:pPr>
        <w:pStyle w:val="Normal"/>
        <w:rPr>
          <w:rFonts w:ascii="Arial" w:hAnsi="Arial" w:cs="Arial"/>
          <w:sz w:val="24"/>
          <w:szCs w:val="24"/>
        </w:rPr>
      </w:pPr>
      <w:r>
        <w:rPr>
          <w:rFonts w:cs="Arial" w:ascii="Arial" w:hAnsi="Arial"/>
          <w:sz w:val="24"/>
          <w:szCs w:val="24"/>
        </w:rPr>
      </w:r>
    </w:p>
    <w:p>
      <w:pPr>
        <w:pStyle w:val="Normal"/>
        <w:spacing w:lineRule="auto" w:line="271" w:before="0" w:after="245"/>
        <w:ind w:left="23" w:right="36" w:hanging="10"/>
        <w:jc w:val="both"/>
        <w:rPr>
          <w:rFonts w:ascii="Calibri" w:hAnsi="Calibri" w:eastAsia="Calibri" w:cs="Calibri"/>
          <w:color w:val="000000"/>
          <w:sz w:val="24"/>
          <w:szCs w:val="24"/>
          <w:lang w:eastAsia="es-ES"/>
        </w:rPr>
      </w:pPr>
      <w:r>
        <w:rPr>
          <w:rFonts w:eastAsia="Arial" w:cs="Arial" w:ascii="Arial" w:hAnsi="Arial"/>
          <w:color w:val="181717"/>
          <w:sz w:val="24"/>
          <w:szCs w:val="24"/>
          <w:lang w:eastAsia="es-ES"/>
        </w:rPr>
        <w:t>Las principales causas de muerte fueron por actividad de la enfermedad con un 12.9%, seguida por las causas infecciosas con un 5.8% y de otras causas no relacionadas con el LES (0.6%).</w:t>
      </w:r>
    </w:p>
    <w:p>
      <w:pPr>
        <w:pStyle w:val="Normal"/>
        <w:spacing w:lineRule="auto" w:line="271" w:before="0" w:after="4"/>
        <w:ind w:left="23" w:right="36" w:hanging="10"/>
        <w:jc w:val="both"/>
        <w:rPr>
          <w:rFonts w:ascii="Calibri" w:hAnsi="Calibri" w:eastAsia="Calibri" w:cs="Calibri"/>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De las causas de muerte por actividad de la enfermedad, las más frecuente fueron la nefritis lúpica con 9.6% y el edema agudo del pulmón, con 3.2% y dentro de las causas de origen infeccioso, las más frecuentes fueron la neumonía nosocomial en un 3.2%, seguida de la neumonía de la comunidad con un 1.9%.  (Ver tabla 5)</w:t>
      </w:r>
    </w:p>
    <w:p>
      <w:pPr>
        <w:pStyle w:val="Normal"/>
        <w:rPr>
          <w:rFonts w:ascii="Arial" w:hAnsi="Arial" w:cs="Arial"/>
          <w:sz w:val="24"/>
          <w:szCs w:val="24"/>
        </w:rPr>
      </w:pPr>
      <w:r>
        <w:rPr>
          <w:rFonts w:cs="Arial" w:ascii="Arial" w:hAnsi="Arial"/>
          <w:sz w:val="24"/>
          <w:szCs w:val="24"/>
        </w:rPr>
      </w:r>
    </w:p>
    <w:p>
      <w:pPr>
        <w:pStyle w:val="Normal"/>
        <w:tabs>
          <w:tab w:val="clear" w:pos="708"/>
          <w:tab w:val="left" w:pos="5464" w:leader="none"/>
        </w:tabs>
        <w:rPr>
          <w:rFonts w:ascii="Arial" w:hAnsi="Arial" w:cs="Arial"/>
          <w:sz w:val="24"/>
          <w:szCs w:val="24"/>
        </w:rPr>
      </w:pPr>
      <w:r>
        <w:rPr>
          <w:rFonts w:cs="Arial" w:ascii="Arial" w:hAnsi="Arial"/>
          <w:sz w:val="24"/>
          <w:szCs w:val="24"/>
        </w:rPr>
        <w:t xml:space="preserve"> </w:t>
      </w:r>
      <w:r>
        <w:rPr>
          <w:rFonts w:cs="Arial" w:ascii="Arial" w:hAnsi="Arial"/>
          <w:sz w:val="24"/>
          <w:szCs w:val="24"/>
        </w:rPr>
        <w:tab/>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keepNext w:val="true"/>
        <w:keepLines/>
        <w:numPr>
          <w:ilvl w:val="0"/>
          <w:numId w:val="0"/>
        </w:numPr>
        <w:spacing w:before="0" w:after="207"/>
        <w:outlineLvl w:val="0"/>
        <w:rPr>
          <w:rFonts w:ascii="Arial" w:hAnsi="Arial" w:eastAsia="Arial" w:cs="Arial"/>
          <w:b/>
          <w:b/>
          <w:color w:val="181717"/>
          <w:sz w:val="24"/>
          <w:szCs w:val="24"/>
          <w:lang w:eastAsia="es-ES"/>
        </w:rPr>
      </w:pPr>
      <w:r>
        <w:rPr>
          <w:rFonts w:eastAsia="Arial" w:cs="Arial" w:ascii="Arial" w:hAnsi="Arial"/>
          <w:b/>
          <w:color w:val="181717"/>
          <w:sz w:val="24"/>
          <w:szCs w:val="24"/>
          <w:lang w:eastAsia="es-ES"/>
        </w:rPr>
        <w:t>Discusión</w:t>
      </w:r>
    </w:p>
    <w:p>
      <w:pPr>
        <w:pStyle w:val="Normal"/>
        <w:spacing w:lineRule="auto" w:line="271" w:before="0" w:after="270"/>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 xml:space="preserve">En el presente estudio, la mortalidad fue del (18.7 %), eran en su mayoría mujeres jóvenes con una edad media en el momento del fallecimiento de </w:t>
      </w:r>
      <w:r>
        <w:rPr>
          <w:rFonts w:eastAsia="Arial" w:cs="Arial" w:ascii="Arial" w:hAnsi="Arial"/>
          <w:sz w:val="24"/>
          <w:szCs w:val="24"/>
          <w:lang w:eastAsia="es-ES"/>
        </w:rPr>
        <w:t>35</w:t>
      </w:r>
      <w:r>
        <w:rPr>
          <w:rFonts w:eastAsia="Arial" w:cs="Arial" w:ascii="Arial" w:hAnsi="Arial"/>
          <w:color w:val="181717"/>
          <w:sz w:val="24"/>
          <w:szCs w:val="24"/>
          <w:lang w:eastAsia="es-ES"/>
        </w:rPr>
        <w:t xml:space="preserve"> años. La edad de los pacientes varía según los investigadores. En el estudio realizado por García e tal en 73 pacientes con LES, en el Salvador, la edad media en el momento del fallecimiento fue de 21,06 años.</w:t>
      </w:r>
      <w:r>
        <w:rPr>
          <w:rFonts w:eastAsia="Arial" w:cs="Arial" w:ascii="Arial" w:hAnsi="Arial"/>
          <w:color w:val="181717"/>
          <w:sz w:val="24"/>
          <w:szCs w:val="24"/>
          <w:vertAlign w:val="superscript"/>
          <w:lang w:eastAsia="es-ES"/>
        </w:rPr>
        <w:t>16</w:t>
      </w:r>
      <w:r>
        <w:rPr>
          <w:rFonts w:eastAsia="Arial" w:cs="Arial" w:ascii="Arial" w:hAnsi="Arial"/>
          <w:color w:val="181717"/>
          <w:sz w:val="24"/>
          <w:szCs w:val="24"/>
          <w:lang w:eastAsia="es-ES"/>
        </w:rPr>
        <w:t xml:space="preserve"> En otro estudio realizado por Costi et al en el Brasil, la edad media de los pacientes con LES fallecidos fue 40,7±18</w:t>
      </w:r>
      <w:r>
        <w:rPr>
          <w:rFonts w:eastAsia="Arial" w:cs="Arial" w:ascii="Arial" w:hAnsi="Arial"/>
          <w:color w:val="181717"/>
          <w:sz w:val="24"/>
          <w:szCs w:val="24"/>
          <w:vertAlign w:val="superscript"/>
          <w:lang w:eastAsia="es-ES"/>
        </w:rPr>
        <w:t>17</w:t>
      </w:r>
      <w:r>
        <w:rPr>
          <w:rFonts w:eastAsia="Arial" w:cs="Arial" w:ascii="Arial" w:hAnsi="Arial"/>
          <w:color w:val="181717"/>
          <w:sz w:val="24"/>
          <w:szCs w:val="24"/>
          <w:lang w:eastAsia="es-ES"/>
        </w:rPr>
        <w:t>.</w:t>
      </w:r>
    </w:p>
    <w:p>
      <w:pPr>
        <w:pStyle w:val="Normal"/>
        <w:spacing w:lineRule="auto" w:line="271" w:before="0" w:after="270"/>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Las principales causas de muerte en nuestro estudio fueron por la actividad de la enfermedad, seguida de las de etiología infecciosa y por otras causas no relacionadas con la enfermedad. Las causas de muerte también difieren según los diferentes estudios. En el estudio realizado por Thomas et al en Francia, con 1593 pacientes fallecidos, con el diagnóstico de LES, la mortalidad fue de 3,2 por millón de habitantes, la edad media en el momento del fallecimiento fue de 63.5±18.4 años, no hubo una gran diferencia con los varones con una edad media de 65.1±17.3 y 63.1±18.7 para las mujeres. Cuando el lupus era la causa subyacente de muerte; las principales causas de muerte fueron de etiología cardiovascular (49,5 %), infecciones 24,5%, insuficiencia renal 23,2%. Cuando el lupus no fue la causa subyacente de muerte, las causas principales fueron cardiovascular (35,7%), neoplasias (13,9 %), infecciones (10,3%)</w:t>
      </w:r>
      <w:r>
        <w:rPr>
          <w:rFonts w:eastAsia="Arial" w:cs="Arial" w:ascii="Arial" w:hAnsi="Arial"/>
          <w:color w:val="181717"/>
          <w:sz w:val="24"/>
          <w:szCs w:val="24"/>
          <w:vertAlign w:val="superscript"/>
          <w:lang w:eastAsia="es-ES"/>
        </w:rPr>
        <w:t>2</w:t>
      </w:r>
      <w:r>
        <w:rPr>
          <w:rFonts w:eastAsia="Arial" w:cs="Arial" w:ascii="Arial" w:hAnsi="Arial"/>
          <w:color w:val="181717"/>
          <w:sz w:val="24"/>
          <w:szCs w:val="24"/>
          <w:lang w:eastAsia="es-ES"/>
        </w:rPr>
        <w:t>.</w:t>
      </w:r>
    </w:p>
    <w:p>
      <w:pPr>
        <w:pStyle w:val="Normal"/>
        <w:spacing w:lineRule="auto" w:line="276" w:before="0" w:after="267"/>
        <w:ind w:left="127"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En la cohorte GLADEL, con 1.214 pacientes, la infección fue responsable del 14% de las muertes y la asociación actividad-infección del 44%. La edad media en el momento del fallecimiento fue de 30 años. Los pacientes que fallecieron tuvieron un nivel educativo y socioeconómico más bajo; y una cobertura médica más pobre</w:t>
      </w:r>
      <w:r>
        <w:rPr>
          <w:rFonts w:eastAsia="Arial" w:cs="Arial" w:ascii="Arial" w:hAnsi="Arial"/>
          <w:color w:val="181717"/>
          <w:sz w:val="24"/>
          <w:szCs w:val="24"/>
          <w:vertAlign w:val="superscript"/>
          <w:lang w:eastAsia="es-ES"/>
        </w:rPr>
        <w:t>4</w:t>
      </w:r>
      <w:r>
        <w:rPr>
          <w:rFonts w:eastAsia="Arial" w:cs="Arial" w:ascii="Arial" w:hAnsi="Arial"/>
          <w:color w:val="181717"/>
          <w:sz w:val="24"/>
          <w:szCs w:val="24"/>
          <w:lang w:eastAsia="es-ES"/>
        </w:rPr>
        <w:t>.</w:t>
      </w:r>
    </w:p>
    <w:p>
      <w:pPr>
        <w:pStyle w:val="Normal"/>
        <w:spacing w:lineRule="auto" w:line="271" w:before="0" w:after="270"/>
        <w:ind w:left="127"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En el estudio realizado en Corea del sur por Koh et al, en 413 pacientes con lupus, la mortalidad fue del 4,8%, las principales causas de muerte, fueron las infecciones, seguida por la actividad de la enfermedad. El sexo masculino, fue un factor de riesgo independiente de muerte</w:t>
      </w:r>
      <w:r>
        <w:rPr>
          <w:rFonts w:eastAsia="Arial" w:cs="Arial" w:ascii="Arial" w:hAnsi="Arial"/>
          <w:color w:val="181717"/>
          <w:sz w:val="24"/>
          <w:szCs w:val="24"/>
          <w:vertAlign w:val="superscript"/>
          <w:lang w:eastAsia="es-ES"/>
        </w:rPr>
        <w:t>18</w:t>
      </w:r>
      <w:r>
        <w:rPr>
          <w:rFonts w:eastAsia="Arial" w:cs="Arial" w:ascii="Arial" w:hAnsi="Arial"/>
          <w:color w:val="181717"/>
          <w:sz w:val="24"/>
          <w:szCs w:val="24"/>
          <w:lang w:eastAsia="es-ES"/>
        </w:rPr>
        <w:t>.</w:t>
      </w:r>
    </w:p>
    <w:p>
      <w:pPr>
        <w:pStyle w:val="Normal"/>
        <w:spacing w:lineRule="auto" w:line="271" w:before="0" w:after="270"/>
        <w:ind w:left="127"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Anver H et al, en un estudio realizado en pacientes con LES, la mortalidad fue del 2,0 8%, las principales causas de muerte fueron las infecciones, la infección por neumococo se presentó en 2 de los 22 pacientes fallecidos. La actividad de la enfermedad como causa de muerte se presentó en un solo paciente</w:t>
      </w:r>
      <w:r>
        <w:rPr>
          <w:rFonts w:eastAsia="Arial" w:cs="Arial" w:ascii="Arial" w:hAnsi="Arial"/>
          <w:color w:val="181717"/>
          <w:sz w:val="24"/>
          <w:szCs w:val="24"/>
          <w:vertAlign w:val="superscript"/>
          <w:lang w:eastAsia="es-ES"/>
        </w:rPr>
        <w:t>19</w:t>
      </w:r>
      <w:r>
        <w:rPr>
          <w:rFonts w:eastAsia="Arial" w:cs="Arial" w:ascii="Arial" w:hAnsi="Arial"/>
          <w:color w:val="181717"/>
          <w:sz w:val="24"/>
          <w:szCs w:val="24"/>
          <w:lang w:eastAsia="es-ES"/>
        </w:rPr>
        <w:t>.</w:t>
      </w:r>
    </w:p>
    <w:p>
      <w:pPr>
        <w:pStyle w:val="Normal"/>
        <w:spacing w:lineRule="auto" w:line="271" w:before="0" w:after="270"/>
        <w:ind w:left="127"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En el estudio realizado por Sharma et al, en pacientes con LES, 17 pacientes fallecieron, las principales causas de muerte fueron la actividad de la enfermedad, seguida por las infecciones</w:t>
      </w:r>
      <w:r>
        <w:rPr>
          <w:rFonts w:eastAsia="Arial" w:cs="Arial" w:ascii="Arial" w:hAnsi="Arial"/>
          <w:color w:val="181717"/>
          <w:sz w:val="24"/>
          <w:szCs w:val="24"/>
          <w:vertAlign w:val="superscript"/>
          <w:lang w:eastAsia="es-ES"/>
        </w:rPr>
        <w:t>20</w:t>
      </w:r>
      <w:r>
        <w:rPr>
          <w:rFonts w:eastAsia="Arial" w:cs="Arial" w:ascii="Arial" w:hAnsi="Arial"/>
          <w:color w:val="181717"/>
          <w:sz w:val="24"/>
          <w:szCs w:val="24"/>
          <w:lang w:eastAsia="es-ES"/>
        </w:rPr>
        <w:t>, coincidiendo con nuestro estudio.</w:t>
      </w:r>
    </w:p>
    <w:p>
      <w:pPr>
        <w:pStyle w:val="Normal"/>
        <w:spacing w:lineRule="auto" w:line="276" w:before="0" w:after="276"/>
        <w:ind w:left="127"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En otro estudio realizado por Pamuk et al, en Turquía, en 428 pacientes con lupus, 19 pacientes fallecieron, las causas principales de muerte fueron la cardiopatía isquémica, la insuficiencia renal crónica y la sepsis</w:t>
      </w:r>
      <w:r>
        <w:rPr>
          <w:rFonts w:eastAsia="Arial" w:cs="Arial" w:ascii="Arial" w:hAnsi="Arial"/>
          <w:color w:val="181717"/>
          <w:sz w:val="24"/>
          <w:szCs w:val="24"/>
          <w:vertAlign w:val="superscript"/>
          <w:lang w:eastAsia="es-ES"/>
        </w:rPr>
        <w:t>21</w:t>
      </w:r>
      <w:r>
        <w:rPr>
          <w:rFonts w:eastAsia="Arial" w:cs="Arial" w:ascii="Arial" w:hAnsi="Arial"/>
          <w:color w:val="181717"/>
          <w:sz w:val="24"/>
          <w:szCs w:val="24"/>
          <w:lang w:eastAsia="es-ES"/>
        </w:rPr>
        <w:t>.</w:t>
      </w:r>
    </w:p>
    <w:p>
      <w:pPr>
        <w:pStyle w:val="Normal"/>
        <w:rPr>
          <w:rFonts w:ascii="Arial" w:hAnsi="Arial" w:eastAsia="Arial" w:cs="Arial"/>
          <w:color w:val="181717"/>
          <w:sz w:val="24"/>
          <w:szCs w:val="24"/>
          <w:lang w:eastAsia="es-ES"/>
        </w:rPr>
      </w:pPr>
      <w:r>
        <w:rPr>
          <w:rFonts w:eastAsia="Arial" w:cs="Arial" w:ascii="Arial" w:hAnsi="Arial"/>
          <w:color w:val="181717"/>
          <w:sz w:val="24"/>
          <w:szCs w:val="24"/>
          <w:lang w:eastAsia="es-ES"/>
        </w:rPr>
        <w:t xml:space="preserve"> </w:t>
      </w:r>
      <w:bookmarkStart w:id="11" w:name="_Hlk102377945"/>
      <w:r>
        <w:rPr>
          <w:rFonts w:eastAsia="Arial" w:cs="Arial" w:ascii="Arial" w:hAnsi="Arial"/>
          <w:color w:val="181717"/>
          <w:sz w:val="24"/>
          <w:szCs w:val="24"/>
          <w:lang w:eastAsia="es-ES"/>
        </w:rPr>
        <w:t xml:space="preserve">En cuanto a los procesos infecciosos observados en el estudio existió un mayor número de pacientes con ITU, pocos de los pacientes tuvieron infecciones nosocomiales, siendo la neumonía nosocomial la más frecuente, seguida por la neumonía adquirida de la comunidad y la fascitis necrotizante. La infección es una causa importante de mortalidad en pacientes con LES. Se sabe que los pacientes con LES son más susceptibles de presentar infecciones con relación a la población general debido a factores atribuidos a la enfermedad o al tratamiento realizado (uso de corticoides, inmunosupresores, agentes biológicos </w:t>
      </w:r>
      <w:bookmarkEnd w:id="11"/>
      <w:r>
        <w:rPr>
          <w:rFonts w:eastAsia="Arial" w:cs="Arial" w:ascii="Arial" w:hAnsi="Arial"/>
          <w:color w:val="181717"/>
          <w:sz w:val="24"/>
          <w:szCs w:val="24"/>
          <w:lang w:eastAsia="es-ES"/>
        </w:rPr>
        <w:t>etc.)</w:t>
      </w:r>
      <w:r>
        <w:rPr>
          <w:rFonts w:eastAsia="Arial" w:cs="Arial" w:ascii="Arial" w:hAnsi="Arial"/>
          <w:color w:val="181717"/>
          <w:sz w:val="24"/>
          <w:szCs w:val="24"/>
          <w:vertAlign w:val="superscript"/>
          <w:lang w:eastAsia="es-ES"/>
        </w:rPr>
        <w:t>22</w:t>
      </w:r>
      <w:r>
        <w:rPr>
          <w:rFonts w:eastAsia="Arial" w:cs="Arial" w:ascii="Arial" w:hAnsi="Arial"/>
          <w:color w:val="181717"/>
          <w:sz w:val="24"/>
          <w:szCs w:val="24"/>
          <w:lang w:eastAsia="es-ES"/>
        </w:rPr>
        <w:t>.</w:t>
      </w:r>
    </w:p>
    <w:p>
      <w:pPr>
        <w:pStyle w:val="Normal"/>
        <w:spacing w:lineRule="auto" w:line="271" w:before="0" w:after="270"/>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 xml:space="preserve">Si bien las infecciones en los pacientes con lupus son producidas, en general por infecciones bacterianas corrientes; los microorganismos oportunistas deben ser sospechados y deben realizarse todos los procedimientos diagnósticos para llegar al diagnóstico. Con frecuencia, </w:t>
      </w:r>
      <w:bookmarkStart w:id="12" w:name="_Hlk102378164"/>
      <w:r>
        <w:rPr>
          <w:rFonts w:eastAsia="Arial" w:cs="Arial" w:ascii="Arial" w:hAnsi="Arial"/>
          <w:color w:val="181717"/>
          <w:sz w:val="24"/>
          <w:szCs w:val="24"/>
          <w:lang w:eastAsia="es-ES"/>
        </w:rPr>
        <w:t>se debe iniciar un tratamiento empírico cubriendo estos microorganismos.</w:t>
      </w:r>
      <w:bookmarkEnd w:id="12"/>
      <w:r>
        <w:rPr>
          <w:rFonts w:eastAsia="Arial" w:cs="Arial" w:ascii="Arial" w:hAnsi="Arial"/>
          <w:color w:val="181717"/>
          <w:sz w:val="24"/>
          <w:szCs w:val="24"/>
          <w:lang w:eastAsia="es-ES"/>
        </w:rPr>
        <w:t xml:space="preserve"> Diferenciar un proceso infeccioso de un brote de la enfermedad, es un reto diagnóstico y muchas veces, ambos procesos pueden presentarse concomitantemente.</w:t>
      </w:r>
    </w:p>
    <w:p>
      <w:pPr>
        <w:pStyle w:val="Normal"/>
        <w:spacing w:lineRule="auto" w:line="271" w:before="0" w:after="270"/>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La actividad de la enfermedad es un factor predisponente para las infecciones</w:t>
      </w:r>
      <w:r>
        <w:rPr>
          <w:rFonts w:eastAsia="Arial" w:cs="Arial" w:ascii="Arial" w:hAnsi="Arial"/>
          <w:color w:val="181717"/>
          <w:sz w:val="24"/>
          <w:szCs w:val="24"/>
          <w:vertAlign w:val="superscript"/>
          <w:lang w:eastAsia="es-ES"/>
        </w:rPr>
        <w:t>13</w:t>
      </w:r>
      <w:r>
        <w:rPr>
          <w:rFonts w:eastAsia="Arial" w:cs="Arial" w:ascii="Arial" w:hAnsi="Arial"/>
          <w:color w:val="181717"/>
          <w:sz w:val="24"/>
          <w:szCs w:val="24"/>
          <w:lang w:eastAsia="es-ES"/>
        </w:rPr>
        <w:t>.Las infecciones pueden presentarse al inicio de la enfermedad, o en el curso de la evolución del LES, como complicación del tratamiento. Las causas de muerte por infecciones siguen siendo una causa importante de mortalidad en los pacientes con LES</w:t>
      </w:r>
      <w:r>
        <w:rPr>
          <w:rFonts w:eastAsia="Arial" w:cs="Arial" w:ascii="Arial" w:hAnsi="Arial"/>
          <w:color w:val="181717"/>
          <w:sz w:val="24"/>
          <w:szCs w:val="24"/>
          <w:vertAlign w:val="superscript"/>
          <w:lang w:eastAsia="es-ES"/>
        </w:rPr>
        <w:t>23</w:t>
      </w:r>
      <w:r>
        <w:rPr>
          <w:rFonts w:eastAsia="Arial" w:cs="Arial" w:ascii="Arial" w:hAnsi="Arial"/>
          <w:color w:val="181717"/>
          <w:sz w:val="24"/>
          <w:szCs w:val="24"/>
          <w:lang w:eastAsia="es-ES"/>
        </w:rPr>
        <w:t xml:space="preserve">.    </w:t>
      </w:r>
    </w:p>
    <w:p>
      <w:pPr>
        <w:pStyle w:val="Normal"/>
        <w:spacing w:lineRule="auto" w:line="271" w:before="0" w:after="270"/>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Los pacientes con LES, tienen un mayor riesgo de presentar infecciones con bacterias encapsuladas. Se recomienda la vacunación antineumocócica para prevenir las infecciones asociadas con este germen</w:t>
      </w:r>
      <w:r>
        <w:rPr>
          <w:rFonts w:eastAsia="Arial" w:cs="Arial" w:ascii="Arial" w:hAnsi="Arial"/>
          <w:color w:val="181717"/>
          <w:sz w:val="24"/>
          <w:szCs w:val="24"/>
          <w:vertAlign w:val="superscript"/>
          <w:lang w:eastAsia="es-ES"/>
        </w:rPr>
        <w:t>24</w:t>
      </w:r>
      <w:r>
        <w:rPr>
          <w:rFonts w:eastAsia="Arial" w:cs="Arial" w:ascii="Arial" w:hAnsi="Arial"/>
          <w:color w:val="181717"/>
          <w:sz w:val="24"/>
          <w:szCs w:val="24"/>
          <w:lang w:eastAsia="es-ES"/>
        </w:rPr>
        <w:t>.</w:t>
      </w:r>
    </w:p>
    <w:p>
      <w:pPr>
        <w:pStyle w:val="Normal"/>
        <w:spacing w:lineRule="auto" w:line="271" w:before="0" w:after="270"/>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 xml:space="preserve">Los fármacos utilizados para controlar la actividad de la enfermedad son factores de riesgo para las infecciones. La Ciclofosfamida utilizada ampliamente en los pacientes con LES, favorecen las infecciones por herpes zoster y </w:t>
      </w:r>
      <w:r>
        <w:rPr>
          <w:rFonts w:eastAsia="Arial" w:cs="Arial" w:ascii="Arial" w:hAnsi="Arial"/>
          <w:i/>
          <w:color w:val="181717"/>
          <w:sz w:val="24"/>
          <w:szCs w:val="24"/>
          <w:lang w:eastAsia="es-ES"/>
        </w:rPr>
        <w:t>Pneumocystis jirovecii</w:t>
      </w:r>
      <w:r>
        <w:rPr>
          <w:rFonts w:eastAsia="Arial" w:cs="Arial" w:ascii="Arial" w:hAnsi="Arial"/>
          <w:color w:val="181717"/>
          <w:sz w:val="24"/>
          <w:szCs w:val="24"/>
          <w:lang w:eastAsia="es-ES"/>
        </w:rPr>
        <w:t>. En cuanto al micofenolato, también usado frecuentemente en los pacientes con LES, se asocia raramente con infecciones severas, el herpes zoster ha sido relacionado con este fármaco. Los corticoides producen un compromiso de la inmunidad celular y humoral, las infecciones relacionadas con su uso, se asociaron con la dosis actual y acumulativa   del medicamento</w:t>
      </w:r>
      <w:r>
        <w:rPr>
          <w:rFonts w:eastAsia="Arial" w:cs="Arial" w:ascii="Arial" w:hAnsi="Arial"/>
          <w:color w:val="181717"/>
          <w:sz w:val="24"/>
          <w:szCs w:val="24"/>
          <w:vertAlign w:val="superscript"/>
          <w:lang w:eastAsia="es-ES"/>
        </w:rPr>
        <w:t>22,23</w:t>
      </w:r>
      <w:r>
        <w:rPr>
          <w:rFonts w:eastAsia="Arial" w:cs="Arial" w:ascii="Arial" w:hAnsi="Arial"/>
          <w:color w:val="181717"/>
          <w:sz w:val="24"/>
          <w:szCs w:val="24"/>
          <w:lang w:eastAsia="es-ES"/>
        </w:rPr>
        <w:t>.</w:t>
      </w:r>
    </w:p>
    <w:p>
      <w:pPr>
        <w:pStyle w:val="Normal"/>
        <w:spacing w:lineRule="auto" w:line="271" w:before="0" w:after="245"/>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Los corticoides se utilizaron en todos los pacientes del estudio, una mayoría de los pacientes recibió también antimicrobianos, cloroquina y azatioprina y un menor número de pacientes recibió tratamiento con ciclofosfamida y micofenolato.</w:t>
      </w:r>
      <w:r>
        <w:rPr>
          <w:rFonts w:eastAsia="Arial" w:cs="Arial" w:ascii="Arial" w:hAnsi="Arial"/>
          <w:color w:val="181717"/>
          <w:sz w:val="24"/>
          <w:szCs w:val="24"/>
          <w:vertAlign w:val="superscript"/>
          <w:lang w:eastAsia="es-ES"/>
        </w:rPr>
        <w:t>23</w:t>
      </w:r>
      <w:r>
        <w:rPr>
          <w:rFonts w:eastAsia="Arial" w:cs="Arial" w:ascii="Arial" w:hAnsi="Arial"/>
          <w:color w:val="181717"/>
          <w:sz w:val="24"/>
          <w:szCs w:val="24"/>
          <w:lang w:eastAsia="es-ES"/>
        </w:rPr>
        <w:t>.</w:t>
      </w:r>
    </w:p>
    <w:p>
      <w:pPr>
        <w:pStyle w:val="Normal"/>
        <w:spacing w:lineRule="auto" w:line="271" w:before="0" w:after="245"/>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 xml:space="preserve">En el presente estudio, la mayoría de los pacientes tenían una elevada actividad de la enfermedad, especialmente debido a la nefritis por lo necesitaron un tratamiento inmunosupresor agresivo y una estancia hospitalaria prolongada que favoreció al desarrollo de infecciones intrahospitalarias. </w:t>
      </w:r>
    </w:p>
    <w:p>
      <w:pPr>
        <w:pStyle w:val="Normal"/>
        <w:spacing w:lineRule="auto" w:line="271" w:before="0" w:after="4"/>
        <w:ind w:left="23" w:right="36"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La mayoría de los pacientes fallecieron en la unidad de cuidados intensivos, las infecciones nosocomiales fueron sobre todo a bacilos Gram negativos. La activi dad de la enfermedad renal junto con el edema agudo del pulmón, fueron las principales causas de muerte atribuidas al LES.</w:t>
      </w:r>
    </w:p>
    <w:p>
      <w:pPr>
        <w:pStyle w:val="Normal"/>
        <w:spacing w:before="0" w:after="16"/>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Este estudio presenta limitaciones, como se trata de un estudio retrospectivo, no se pudo obtener toda la información necesaria para analizar las causas de muerte. Se necesitan estudios de seguimiento para establecer asociaciones significativas sobre las causas de muerte en pacientes con LES.</w:t>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271" w:before="0" w:after="270"/>
        <w:ind w:left="23" w:right="36" w:hanging="1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r>
    </w:p>
    <w:p>
      <w:pPr>
        <w:pStyle w:val="Normal"/>
        <w:spacing w:lineRule="auto" w:line="360" w:before="120" w:after="240"/>
        <w:ind w:right="-376" w:hanging="0"/>
        <w:rPr>
          <w:rFonts w:ascii="Arial" w:hAnsi="Arial" w:eastAsia="Times New Roman" w:cs="Arial"/>
          <w:b/>
          <w:b/>
          <w:sz w:val="24"/>
          <w:szCs w:val="24"/>
          <w:lang w:eastAsia="es-ES"/>
        </w:rPr>
      </w:pPr>
      <w:r>
        <w:rPr>
          <w:rFonts w:eastAsia="Times New Roman" w:cs="Arial" w:ascii="Arial" w:hAnsi="Arial"/>
          <w:b/>
          <w:sz w:val="24"/>
          <w:szCs w:val="24"/>
          <w:lang w:eastAsia="es-ES"/>
        </w:rPr>
      </w:r>
    </w:p>
    <w:p>
      <w:pPr>
        <w:pStyle w:val="Normal"/>
        <w:spacing w:lineRule="auto" w:line="360" w:before="120" w:after="240"/>
        <w:ind w:right="-376" w:hanging="0"/>
        <w:rPr>
          <w:rFonts w:ascii="Arial" w:hAnsi="Arial" w:eastAsia="Times New Roman" w:cs="Arial"/>
          <w:b/>
          <w:b/>
          <w:sz w:val="24"/>
          <w:szCs w:val="24"/>
          <w:lang w:eastAsia="es-ES"/>
        </w:rPr>
      </w:pPr>
      <w:r>
        <w:rPr>
          <w:rFonts w:eastAsia="Times New Roman" w:cs="Arial" w:ascii="Arial" w:hAnsi="Arial"/>
          <w:b/>
          <w:sz w:val="24"/>
          <w:szCs w:val="24"/>
          <w:lang w:eastAsia="es-ES"/>
        </w:rPr>
      </w:r>
    </w:p>
    <w:p>
      <w:pPr>
        <w:pStyle w:val="Normal"/>
        <w:spacing w:lineRule="auto" w:line="360" w:before="120" w:after="240"/>
        <w:ind w:right="-376" w:hanging="0"/>
        <w:rPr>
          <w:rFonts w:ascii="Arial" w:hAnsi="Arial" w:eastAsia="Times New Roman" w:cs="Arial"/>
          <w:b/>
          <w:b/>
          <w:sz w:val="24"/>
          <w:szCs w:val="24"/>
          <w:lang w:eastAsia="es-ES"/>
        </w:rPr>
      </w:pPr>
      <w:r>
        <w:rPr>
          <w:rFonts w:eastAsia="Times New Roman" w:cs="Arial" w:ascii="Arial" w:hAnsi="Arial"/>
          <w:b/>
          <w:sz w:val="24"/>
          <w:szCs w:val="24"/>
          <w:lang w:eastAsia="es-ES"/>
        </w:rPr>
      </w:r>
    </w:p>
    <w:p>
      <w:pPr>
        <w:pStyle w:val="Normal"/>
        <w:spacing w:lineRule="auto" w:line="360" w:before="120" w:after="240"/>
        <w:ind w:right="-376" w:hanging="0"/>
        <w:rPr>
          <w:rFonts w:ascii="Arial" w:hAnsi="Arial" w:eastAsia="Times New Roman" w:cs="Arial"/>
          <w:b/>
          <w:b/>
          <w:sz w:val="24"/>
          <w:szCs w:val="24"/>
          <w:lang w:eastAsia="es-ES"/>
        </w:rPr>
      </w:pPr>
      <w:r>
        <w:rPr>
          <w:rFonts w:eastAsia="Times New Roman" w:cs="Arial" w:ascii="Arial" w:hAnsi="Arial"/>
          <w:b/>
          <w:sz w:val="24"/>
          <w:szCs w:val="24"/>
          <w:lang w:eastAsia="es-ES"/>
        </w:rPr>
      </w:r>
    </w:p>
    <w:p>
      <w:pPr>
        <w:pStyle w:val="Normal"/>
        <w:spacing w:lineRule="auto" w:line="360" w:before="120" w:after="240"/>
        <w:ind w:right="-376" w:hanging="0"/>
        <w:rPr>
          <w:rFonts w:ascii="Arial" w:hAnsi="Arial" w:eastAsia="Times New Roman" w:cs="Arial"/>
          <w:b/>
          <w:b/>
          <w:sz w:val="24"/>
          <w:szCs w:val="24"/>
          <w:lang w:eastAsia="es-ES"/>
        </w:rPr>
      </w:pPr>
      <w:r>
        <w:rPr>
          <w:rFonts w:eastAsia="Times New Roman" w:cs="Arial" w:ascii="Arial" w:hAnsi="Arial"/>
          <w:b/>
          <w:sz w:val="24"/>
          <w:szCs w:val="24"/>
          <w:lang w:eastAsia="es-ES"/>
        </w:rPr>
      </w:r>
    </w:p>
    <w:p>
      <w:pPr>
        <w:pStyle w:val="Normal"/>
        <w:spacing w:lineRule="auto" w:line="360" w:before="120" w:after="240"/>
        <w:ind w:right="-376" w:hanging="0"/>
        <w:rPr>
          <w:rFonts w:ascii="Arial" w:hAnsi="Arial" w:eastAsia="Times New Roman" w:cs="Arial"/>
          <w:b/>
          <w:b/>
          <w:sz w:val="24"/>
          <w:szCs w:val="24"/>
          <w:lang w:eastAsia="es-ES"/>
        </w:rPr>
      </w:pPr>
      <w:r>
        <w:rPr>
          <w:rFonts w:eastAsia="Times New Roman" w:cs="Arial" w:ascii="Arial" w:hAnsi="Arial"/>
          <w:b/>
          <w:sz w:val="24"/>
          <w:szCs w:val="24"/>
          <w:lang w:eastAsia="es-ES"/>
        </w:rPr>
      </w:r>
    </w:p>
    <w:p>
      <w:pPr>
        <w:pStyle w:val="Normal"/>
        <w:spacing w:lineRule="auto" w:line="360" w:before="120" w:after="240"/>
        <w:ind w:right="-376" w:hanging="0"/>
        <w:rPr>
          <w:rFonts w:ascii="Arial" w:hAnsi="Arial" w:eastAsia="Times New Roman" w:cs="Arial"/>
          <w:b/>
          <w:b/>
          <w:sz w:val="24"/>
          <w:szCs w:val="24"/>
          <w:lang w:eastAsia="es-ES"/>
        </w:rPr>
      </w:pPr>
      <w:r>
        <w:rPr>
          <w:rFonts w:eastAsia="Times New Roman" w:cs="Arial" w:ascii="Arial" w:hAnsi="Arial"/>
          <w:b/>
          <w:sz w:val="24"/>
          <w:szCs w:val="24"/>
          <w:lang w:eastAsia="es-ES"/>
        </w:rPr>
      </w:r>
    </w:p>
    <w:p>
      <w:pPr>
        <w:pStyle w:val="Normal"/>
        <w:spacing w:lineRule="auto" w:line="360" w:before="120" w:after="240"/>
        <w:ind w:right="-376" w:hanging="0"/>
        <w:rPr>
          <w:rFonts w:ascii="Arial" w:hAnsi="Arial" w:eastAsia="Times New Roman" w:cs="Arial"/>
          <w:b/>
          <w:b/>
          <w:sz w:val="24"/>
          <w:szCs w:val="24"/>
          <w:lang w:eastAsia="es-ES"/>
        </w:rPr>
      </w:pPr>
      <w:r>
        <w:rPr>
          <w:rFonts w:eastAsia="Times New Roman" w:cs="Arial" w:ascii="Arial" w:hAnsi="Arial"/>
          <w:b/>
          <w:sz w:val="24"/>
          <w:szCs w:val="24"/>
          <w:lang w:eastAsia="es-ES"/>
        </w:rPr>
        <w:t>CONCLUSIONES:</w:t>
      </w:r>
    </w:p>
    <w:p>
      <w:pPr>
        <w:pStyle w:val="Normal"/>
        <w:spacing w:lineRule="auto" w:line="360" w:before="120" w:after="240"/>
        <w:ind w:right="-376" w:hanging="0"/>
        <w:jc w:val="both"/>
        <w:rPr>
          <w:rFonts w:ascii="Arial" w:hAnsi="Arial" w:eastAsia="Arial" w:cs="Arial"/>
          <w:color w:val="181717"/>
          <w:sz w:val="24"/>
          <w:szCs w:val="24"/>
          <w:lang w:eastAsia="es-ES"/>
        </w:rPr>
      </w:pPr>
      <w:r>
        <w:rPr>
          <w:rFonts w:eastAsia="Arial" w:cs="Arial" w:ascii="Arial" w:hAnsi="Arial"/>
          <w:color w:val="181717"/>
          <w:sz w:val="24"/>
          <w:szCs w:val="24"/>
          <w:lang w:eastAsia="es-ES"/>
        </w:rPr>
        <w:t xml:space="preserve">La actividad de la enfermedad fue la causa más importante de mortalidad en pacientes con LES, donde la nefritis es la causa más frecuente de complicaciones en este tipo de pacientes </w:t>
      </w:r>
    </w:p>
    <w:p>
      <w:pPr>
        <w:pStyle w:val="Normal"/>
        <w:spacing w:lineRule="auto" w:line="360" w:before="120" w:after="240"/>
        <w:ind w:right="-376" w:hanging="0"/>
        <w:jc w:val="both"/>
        <w:rPr>
          <w:rFonts w:ascii="Arial" w:hAnsi="Arial" w:eastAsia="Times New Roman" w:cs="Arial"/>
          <w:b/>
          <w:b/>
          <w:sz w:val="24"/>
          <w:szCs w:val="24"/>
          <w:lang w:val="es-ES_tradnl"/>
        </w:rPr>
      </w:pPr>
      <w:r>
        <w:rPr>
          <w:rFonts w:eastAsia="Arial" w:cs="Arial" w:ascii="Arial" w:hAnsi="Arial"/>
          <w:color w:val="181717"/>
          <w:sz w:val="24"/>
          <w:szCs w:val="24"/>
          <w:lang w:eastAsia="es-ES"/>
        </w:rPr>
        <w:t>Es una realidad que los pacientes con esta patología son más susceptibles de presentar infecciones, por lo que se debe profundizar en el diagnóstico y tratamiento empírico de los gérmenes que con más frecuencia desencadenan procesos infecciosos.</w:t>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t>El comportamiento de la morbimortalidad por LES, menor que en otras series habla a favor de logros en cuanto a control de actividad de la enfermedad e infecciones asociadas en nuestros pacientes.</w:t>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Times New Roman" w:cs="Arial"/>
          <w:sz w:val="24"/>
          <w:szCs w:val="24"/>
          <w:lang w:val="es-ES_tradnl"/>
        </w:rPr>
      </w:pPr>
      <w:r>
        <w:rPr>
          <w:rFonts w:eastAsia="Times New Roman" w:cs="Arial" w:ascii="Arial" w:hAnsi="Arial"/>
          <w:sz w:val="24"/>
          <w:szCs w:val="24"/>
          <w:lang w:val="es-ES_tradnl"/>
        </w:rPr>
      </w:r>
    </w:p>
    <w:p>
      <w:pPr>
        <w:pStyle w:val="Normal"/>
        <w:spacing w:lineRule="auto" w:line="360" w:before="120" w:after="240"/>
        <w:ind w:right="-376" w:hanging="0"/>
        <w:jc w:val="both"/>
        <w:rPr>
          <w:rFonts w:ascii="Arial" w:hAnsi="Arial" w:eastAsia="Calibri" w:cs="Arial"/>
          <w:b/>
          <w:b/>
          <w:bCs/>
          <w:color w:val="000000"/>
          <w:sz w:val="28"/>
          <w:szCs w:val="28"/>
          <w:lang w:eastAsia="es-ES"/>
        </w:rPr>
      </w:pPr>
      <w:r>
        <w:rPr>
          <w:rFonts w:eastAsia="Calibri" w:cs="Arial" w:ascii="Arial" w:hAnsi="Arial"/>
          <w:b/>
          <w:bCs/>
          <w:color w:val="000000"/>
          <w:sz w:val="28"/>
          <w:szCs w:val="28"/>
          <w:lang w:eastAsia="es-ES"/>
        </w:rPr>
      </w:r>
    </w:p>
    <w:p>
      <w:pPr>
        <w:pStyle w:val="Normal"/>
        <w:spacing w:lineRule="auto" w:line="360" w:before="120" w:after="240"/>
        <w:ind w:right="-376" w:hanging="0"/>
        <w:jc w:val="both"/>
        <w:rPr>
          <w:rFonts w:ascii="Arial" w:hAnsi="Arial" w:eastAsia="Calibri" w:cs="Arial"/>
          <w:b/>
          <w:b/>
          <w:bCs/>
          <w:color w:val="000000"/>
          <w:sz w:val="28"/>
          <w:szCs w:val="28"/>
          <w:lang w:eastAsia="es-ES"/>
        </w:rPr>
      </w:pPr>
      <w:r>
        <w:rPr>
          <w:rFonts w:eastAsia="Calibri" w:cs="Arial" w:ascii="Arial" w:hAnsi="Arial"/>
          <w:b/>
          <w:bCs/>
          <w:color w:val="000000"/>
          <w:sz w:val="28"/>
          <w:szCs w:val="28"/>
          <w:lang w:eastAsia="es-ES"/>
        </w:rPr>
      </w:r>
    </w:p>
    <w:p>
      <w:pPr>
        <w:pStyle w:val="Normal"/>
        <w:spacing w:lineRule="auto" w:line="360" w:before="120" w:after="240"/>
        <w:ind w:right="-376" w:hanging="0"/>
        <w:jc w:val="both"/>
        <w:rPr>
          <w:rFonts w:ascii="Arial" w:hAnsi="Arial" w:eastAsia="Calibri" w:cs="Arial"/>
          <w:b/>
          <w:b/>
          <w:bCs/>
          <w:color w:val="000000"/>
          <w:sz w:val="28"/>
          <w:szCs w:val="28"/>
          <w:lang w:eastAsia="es-ES"/>
        </w:rPr>
      </w:pPr>
      <w:r>
        <w:rPr>
          <w:rFonts w:eastAsia="Calibri" w:cs="Arial" w:ascii="Arial" w:hAnsi="Arial"/>
          <w:b/>
          <w:bCs/>
          <w:color w:val="000000"/>
          <w:sz w:val="28"/>
          <w:szCs w:val="28"/>
          <w:lang w:eastAsia="es-ES"/>
        </w:rPr>
      </w:r>
    </w:p>
    <w:p>
      <w:pPr>
        <w:pStyle w:val="Normal"/>
        <w:spacing w:lineRule="auto" w:line="360" w:before="120" w:after="240"/>
        <w:ind w:right="-376" w:hanging="0"/>
        <w:jc w:val="both"/>
        <w:rPr>
          <w:rFonts w:ascii="Arial" w:hAnsi="Arial" w:eastAsia="Calibri" w:cs="Arial"/>
          <w:b/>
          <w:b/>
          <w:bCs/>
          <w:color w:val="000000"/>
          <w:sz w:val="28"/>
          <w:szCs w:val="28"/>
          <w:lang w:eastAsia="es-ES"/>
        </w:rPr>
      </w:pPr>
      <w:r>
        <w:rPr>
          <w:rFonts w:eastAsia="Calibri" w:cs="Arial" w:ascii="Arial" w:hAnsi="Arial"/>
          <w:b/>
          <w:bCs/>
          <w:color w:val="000000"/>
          <w:sz w:val="28"/>
          <w:szCs w:val="28"/>
          <w:lang w:eastAsia="es-ES"/>
        </w:rPr>
        <w:t>Recomendaciones:</w:t>
      </w:r>
    </w:p>
    <w:p>
      <w:pPr>
        <w:pStyle w:val="Normal"/>
        <w:spacing w:lineRule="auto" w:line="360" w:before="120" w:after="240"/>
        <w:ind w:right="-376" w:hanging="0"/>
        <w:jc w:val="both"/>
        <w:rPr>
          <w:rFonts w:ascii="Arial" w:hAnsi="Arial" w:eastAsia="Calibri" w:cs="Arial"/>
          <w:color w:val="000000"/>
          <w:sz w:val="24"/>
          <w:szCs w:val="24"/>
          <w:lang w:eastAsia="es-ES"/>
        </w:rPr>
      </w:pPr>
      <w:r>
        <w:rPr>
          <w:rFonts w:eastAsia="Calibri" w:cs="Arial" w:ascii="Arial" w:hAnsi="Arial"/>
          <w:color w:val="000000"/>
          <w:sz w:val="24"/>
          <w:szCs w:val="24"/>
          <w:lang w:eastAsia="es-ES"/>
        </w:rPr>
        <w:t>Recomendamos a nuestros pacientes mantener el seguimiento y cumplir estrictamente las orientaciones   de su especialista en Reumatología.</w:t>
      </w:r>
    </w:p>
    <w:p>
      <w:pPr>
        <w:pStyle w:val="Normal"/>
        <w:spacing w:lineRule="auto" w:line="360" w:before="120" w:after="240"/>
        <w:ind w:right="-376" w:hanging="0"/>
        <w:jc w:val="both"/>
        <w:rPr>
          <w:rFonts w:ascii="Arial" w:hAnsi="Arial" w:eastAsia="Calibri" w:cs="Arial"/>
          <w:color w:val="000000"/>
          <w:sz w:val="24"/>
          <w:szCs w:val="24"/>
          <w:lang w:eastAsia="es-ES"/>
        </w:rPr>
      </w:pPr>
      <w:r>
        <w:rPr>
          <w:rFonts w:eastAsia="Calibri" w:cs="Arial" w:ascii="Arial" w:hAnsi="Arial"/>
          <w:color w:val="000000"/>
          <w:sz w:val="24"/>
          <w:szCs w:val="24"/>
          <w:lang w:eastAsia="es-ES"/>
        </w:rPr>
        <w:t>Cuidar su alimentación y mantener el uso continuo del tratamiento para evitar recaídas.</w:t>
      </w:r>
    </w:p>
    <w:p>
      <w:pPr>
        <w:pStyle w:val="Normal"/>
        <w:spacing w:lineRule="auto" w:line="360" w:before="120" w:after="240"/>
        <w:ind w:right="-376" w:hanging="0"/>
        <w:jc w:val="both"/>
        <w:rPr>
          <w:rFonts w:ascii="Arial" w:hAnsi="Arial" w:eastAsia="Calibri" w:cs="Arial"/>
          <w:color w:val="000000"/>
          <w:sz w:val="24"/>
          <w:szCs w:val="24"/>
          <w:lang w:eastAsia="es-ES"/>
        </w:rPr>
      </w:pPr>
      <w:r>
        <w:rPr>
          <w:rFonts w:eastAsia="Calibri" w:cs="Arial" w:ascii="Arial" w:hAnsi="Arial"/>
          <w:color w:val="000000"/>
          <w:sz w:val="24"/>
          <w:szCs w:val="24"/>
          <w:lang w:eastAsia="es-ES"/>
        </w:rPr>
        <w:t>Evitar la exposición prolongada a rayos ultravioletas.</w:t>
      </w:r>
    </w:p>
    <w:p>
      <w:pPr>
        <w:pStyle w:val="Normal"/>
        <w:spacing w:lineRule="auto" w:line="360" w:before="120" w:after="240"/>
        <w:ind w:right="-376" w:hanging="0"/>
        <w:jc w:val="both"/>
        <w:rPr>
          <w:rFonts w:ascii="Arial" w:hAnsi="Arial" w:eastAsia="Calibri" w:cs="Arial"/>
          <w:color w:val="000000"/>
          <w:sz w:val="24"/>
          <w:szCs w:val="24"/>
          <w:lang w:eastAsia="es-ES"/>
        </w:rPr>
      </w:pPr>
      <w:r>
        <w:rPr>
          <w:rFonts w:eastAsia="Calibri" w:cs="Arial" w:ascii="Arial" w:hAnsi="Arial"/>
          <w:color w:val="000000"/>
          <w:sz w:val="24"/>
          <w:szCs w:val="24"/>
          <w:lang w:eastAsia="es-ES"/>
        </w:rPr>
        <w:t>Mantenerse alejados de zona aglomeradas.</w:t>
      </w:r>
    </w:p>
    <w:p>
      <w:pPr>
        <w:pStyle w:val="Normal"/>
        <w:spacing w:lineRule="auto" w:line="360" w:before="120" w:after="240"/>
        <w:ind w:right="-376" w:hanging="0"/>
        <w:jc w:val="both"/>
        <w:rPr>
          <w:rFonts w:ascii="Arial" w:hAnsi="Arial" w:eastAsia="Times New Roman" w:cs="Arial"/>
          <w:sz w:val="24"/>
          <w:szCs w:val="24"/>
          <w:lang w:val="es-ES_tradnl"/>
        </w:rPr>
      </w:pPr>
      <w:r>
        <w:rPr>
          <w:rFonts w:eastAsia="Calibri" w:cs="Arial" w:ascii="Arial" w:hAnsi="Arial"/>
          <w:color w:val="000000"/>
          <w:sz w:val="24"/>
          <w:szCs w:val="24"/>
          <w:lang w:eastAsia="es-ES"/>
        </w:rPr>
        <w:t>Acudir a los servicios médicos de manera inmediata ante síntomas o signos de sepsis o actividad de la enfermedad ya que son las principales causas de mortalidad en pacientes con LES.</w:t>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spacing w:lineRule="auto" w:line="271" w:before="0" w:after="270"/>
        <w:ind w:left="23" w:right="36" w:hanging="10"/>
        <w:jc w:val="both"/>
        <w:rPr>
          <w:rFonts w:ascii="Arial" w:hAnsi="Arial" w:eastAsia="Calibri" w:cs="Arial"/>
          <w:b/>
          <w:b/>
          <w:bCs/>
          <w:color w:val="000000"/>
          <w:sz w:val="24"/>
          <w:szCs w:val="24"/>
          <w:lang w:eastAsia="es-ES"/>
        </w:rPr>
      </w:pPr>
      <w:r>
        <w:rPr>
          <w:rFonts w:eastAsia="Calibri" w:cs="Arial" w:ascii="Arial" w:hAnsi="Arial"/>
          <w:b/>
          <w:bCs/>
          <w:color w:val="000000"/>
          <w:sz w:val="24"/>
          <w:szCs w:val="24"/>
          <w:lang w:eastAsia="es-ES"/>
        </w:rPr>
      </w:r>
    </w:p>
    <w:p>
      <w:pPr>
        <w:pStyle w:val="Normal"/>
        <w:keepNext w:val="true"/>
        <w:keepLines/>
        <w:numPr>
          <w:ilvl w:val="0"/>
          <w:numId w:val="0"/>
        </w:numPr>
        <w:spacing w:before="0" w:after="97"/>
        <w:outlineLvl w:val="0"/>
        <w:rPr>
          <w:rFonts w:ascii="Arial" w:hAnsi="Arial" w:eastAsia="Arial" w:cs="Arial"/>
          <w:b/>
          <w:b/>
          <w:color w:val="181717"/>
          <w:sz w:val="24"/>
          <w:szCs w:val="24"/>
          <w:lang w:eastAsia="es-ES"/>
        </w:rPr>
      </w:pPr>
      <w:r>
        <w:rPr>
          <w:rFonts w:eastAsia="Arial" w:cs="Arial" w:ascii="Arial" w:hAnsi="Arial"/>
          <w:b/>
          <w:color w:val="181717"/>
          <w:sz w:val="24"/>
          <w:szCs w:val="24"/>
          <w:lang w:eastAsia="es-ES"/>
        </w:rPr>
        <w:t>Bibliografía:</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Alba P. Morbimortalidad en el Lupus Eritematoso Sistémico. Rev Arg Reum.2015;26(1):7-8. </w:t>
      </w:r>
    </w:p>
    <w:p>
      <w:pPr>
        <w:pStyle w:val="Normal"/>
        <w:numPr>
          <w:ilvl w:val="0"/>
          <w:numId w:val="2"/>
        </w:numPr>
        <w:spacing w:lineRule="auto" w:line="288" w:before="0" w:after="166"/>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Thomas G, Mancini J, Jourde-Chiche N, Sarlon G, Amoura Z, Harlé   </w:t>
        <w:tab/>
        <w:t xml:space="preserve">JR, et al. Mortality Associated With Systemic Lupus Erythematosus   </w:t>
        <w:tab/>
        <w:t xml:space="preserve">in France Assessed by Multiple Cause of Death Analysis. Arthritis y </w:t>
        <w:tab/>
        <w:t>Rheumatol.2014;66(9):2503-11.</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Muñoz-Grajales C, Velásquez-Franco C, Márquez-Hernández J, Pinto-Peñaranda L. Hospitalización en Lupus Eritematoso Sisté- mico: Causas, Evolución, Complicaciones y Mortalidad. Rev Colomb Reumatol. 2014;21(2):65-9. </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Pons-Estel B, Catoggio L, Cardiel M, Cardiel MH, Soriano SR, Gentiletti S, et al Latinoamericano de Estudio del Lupus (GLADEL).  The GLADEL Multinational Latín American Prospective Incepción Cohort of 1,214 Patients with Systemic Lupus Erythematosus Ethnic  and Disease Heterogeneit y among "Hispanics". Medicine.  2004;83:1-17.</w:t>
      </w:r>
    </w:p>
    <w:p>
      <w:pPr>
        <w:pStyle w:val="Normal"/>
        <w:numPr>
          <w:ilvl w:val="0"/>
          <w:numId w:val="2"/>
        </w:numPr>
        <w:spacing w:lineRule="auto" w:line="264" w:before="0" w:after="183"/>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Jiménez-alonso J, Hidalgo-tenorio C, Ruiz-irastorza G. Guías clínicas de enfermedades autoinmunes sistémicas. Soc española Med In- terna. 2011;1-70. </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Romaní F, Atencia F, Cuadra J, Canelo C. Lupus Eritematoso Sisté- mico, en un Paciente Varón: a propósito de un caso. Ann de la Fac- Med. 2013;69(1):37-41. </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Urizar C. Troche N, Portillo C. frecuencia de complicaciones infecciosas en pacientes con lupus eritematoso sistémico y artritis reumatoide de la III cátedra de clínica médica (2014-2016). Rev.  Parag. Reumatol. 2016;2(2):67-71.</w:t>
      </w:r>
    </w:p>
    <w:p>
      <w:pPr>
        <w:pStyle w:val="Normal"/>
        <w:numPr>
          <w:ilvl w:val="0"/>
          <w:numId w:val="2"/>
        </w:numPr>
        <w:spacing w:lineRule="auto" w:line="264" w:before="0" w:after="1"/>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Ormea-villavicencio, A M-UG. Mortalidad en los Pacientes con Lupus Eritematoso Sistémico que Ingresaron a una Unidad de Cuidados Intensivos. Rev Soc Perú Med Interna.2009;22(4):145-50. </w:t>
      </w:r>
    </w:p>
    <w:p>
      <w:pPr>
        <w:pStyle w:val="Normal"/>
        <w:spacing w:before="0" w:after="6"/>
        <w:ind w:left="117" w:hanging="0"/>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Ayala A, Torres E, Montiel D. Causas de fiebre en pacientes adultos con lupus eritematoso sistémico. Rev. virtual Soc. Parag. Med. Int.  2017;4(1):35-45.</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Cervera R, Khamashta MA, Font J, Sebastiani GD, Gil A, Lavilla P, et al. Morbidity and mortality in systemic lupus erythematosus during a 10-year period: a comparison of early and late manifestations in a cohort of 1,000 patients. Medicine (Baltimore).2003;82(5):299-308.</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Wang Z, Wang Y, Zhu R, Tian X, Xu D, Wang Q, et al. Long Term Survival and Death Causes of Systemic Lupus Erythematosus in China. Medicine (Baltimore). 2015;94(17):1-9. </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Vargas-Marin, J, Moreira-Vasquez C, Delgado, k. causas de muerte en pacientes con lupus eritematoso sistémico (les) en el hospital México de 1989 a 2004. revista médica de costa rica y Centroamérica. 2010;(594)337-343.</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Rúa-Figueroa I, Erausquin C. Factores Asociados a la Mortalidad del lupus Eritematoso Sistémico. Semin fund Esp Reum. 2008; 9(4):219-34. </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Mejía, F, Molina J, Uribe O, De la Cruz O, Zambrano F. Factores Pronósticos en la Mortalidad por Lupus Eritematoso Sistémico.  Acta méd colomb. 1986;11(1):2-7.</w:t>
      </w:r>
    </w:p>
    <w:p>
      <w:pPr>
        <w:pStyle w:val="Normal"/>
        <w:numPr>
          <w:ilvl w:val="0"/>
          <w:numId w:val="2"/>
        </w:numPr>
        <w:spacing w:lineRule="auto" w:line="264" w:before="0" w:after="16"/>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Petri M, Orbai AM, Alarcon G, Gordon G, Merrill JT, Fortin PR, et al. Derivation and Validation of the Systemic   Lupus International Collaborating Clinics Clasificatión Criteria   for Systemic Lupus Erythematosus. arthritis &amp; rheumatism. </w:t>
      </w:r>
    </w:p>
    <w:p>
      <w:pPr>
        <w:pStyle w:val="Normal"/>
        <w:tabs>
          <w:tab w:val="clear" w:pos="708"/>
          <w:tab w:val="center" w:pos="970" w:leader="none"/>
        </w:tabs>
        <w:spacing w:lineRule="auto" w:line="264" w:before="0" w:after="179"/>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ab/>
        <w:t>2012; 64(8):2677–2686.</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Garcia, R, Sermeño S. Mortalidad por Lupus eritematoso Sistémico  </w:t>
        <w:tab/>
        <w:t xml:space="preserve">en un Hospital del Salvador. Rev Arch Col Med. 2008;1(1):2-5. </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Costi L, Iwamoto H, Costa D, Neves D, Muniz-Caldas C. Mortalidade por Lupus Eritematoso Sistêmico no Brasil: Avaliacão das Causas de Acordo com o Banco de Dados de Saúde do Governo. Rev Bras Reumatol.2017;57(6):574–82. Available from: http://dx.doi.  org/10.1016/j.rbr.2017.05.007</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Koh JH, Park EK, Lee HN, Kim Y, Kim GT, Suh YS et al. Clinical  characteristics and survival of 413 patients with systemic lupus erythematosus in southeastern areas of South Korea: A multi- center retrospective cohort study. Int J Rheum Dis. 2019 Dec 4. doi:  10.1111/1756-185X.13761.8. </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Anver H, Dubey S, Fox J. Changing trends in mortality in systemic  lupus erythematosus? An analysis of SLE inpatient mortality at University Hospital Coventry and Warwickshire NHS Trust from 2007 to 2016. Rheumatology International 2019.https://doi.  org/10.1007/s00296-019-04450-1</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Sharma A, Shamanna SB, Kumar S, Wanchu A, Bambery P, Singh S, et al. Causes of mortality among inpatients with systemic lupus erythematosus in a tertiary care hospital in North India over a 10- year period. Lupus. 2013;22(2):216-22.</w:t>
      </w:r>
    </w:p>
    <w:p>
      <w:pPr>
        <w:pStyle w:val="Normal"/>
        <w:numPr>
          <w:ilvl w:val="0"/>
          <w:numId w:val="2"/>
        </w:numPr>
        <w:spacing w:lineRule="auto" w:line="264" w:before="0" w:after="16"/>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Pamuk ON, Akbay FG, Dönmez S, Akbay FG, Yilmaz N. The clinical manifestations and survival of systemic lupus erythematosus  patients in Turkey: report from two centers. Lupus. 2013;22(13):1416- </w:t>
      </w:r>
    </w:p>
    <w:p>
      <w:pPr>
        <w:pStyle w:val="Normal"/>
        <w:tabs>
          <w:tab w:val="clear" w:pos="708"/>
          <w:tab w:val="center" w:pos="324" w:leader="none"/>
        </w:tabs>
        <w:spacing w:lineRule="auto" w:line="264" w:before="0" w:after="183"/>
        <w:rPr>
          <w:rFonts w:ascii="Arial" w:hAnsi="Arial" w:eastAsia="Calibri" w:cs="Arial"/>
          <w:color w:val="000000"/>
          <w:sz w:val="24"/>
          <w:szCs w:val="24"/>
          <w:lang w:eastAsia="es-ES"/>
        </w:rPr>
      </w:pPr>
      <w:r>
        <w:rPr>
          <w:rFonts w:eastAsia="Arial" w:cs="Arial" w:ascii="Arial" w:hAnsi="Arial"/>
          <w:color w:val="181717"/>
          <w:sz w:val="24"/>
          <w:szCs w:val="24"/>
          <w:lang w:eastAsia="es-ES"/>
        </w:rPr>
        <w:t xml:space="preserve"> </w:t>
      </w:r>
      <w:r>
        <w:rPr>
          <w:rFonts w:eastAsia="Arial" w:cs="Arial" w:ascii="Arial" w:hAnsi="Arial"/>
          <w:color w:val="181717"/>
          <w:sz w:val="24"/>
          <w:szCs w:val="24"/>
          <w:lang w:eastAsia="es-ES"/>
        </w:rPr>
        <w:tab/>
        <w:t>24.</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Enberg M, Kahn M, Goity C, Villalón MV, Zamorano J, Figueroa F.  Infecciones en pacientes con lupus Eritematoso sistémico. Rev Méd Chile. 2009;137:1367-1374.</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Muñoz-Grajales C, Pinto Peñaranda L, Velásquez Franco C. et al.  Complicaciones infecciosas en lupus eritematoso sistémico. rev colomb reumatol. 2013;20(3):141-147.</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Puges M, Biscay P, Barnetche T, Truchetet ME, Richez C, Seneschal J, et al. Immunogenicity and impact on disease activity of influenza and pneumococcal vaccines in systemic lupus erythe- matosus: a systematic literature review and meta-analysis. Rheuma- tology (Oxford). 2016;55(9):1664-72.</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Bosaeed M, Kumar D. Seasonal influenza vaccine in immunocom-  promised persons. Human vaccines &amp; immunotherapeutics. 2018; 14(6):1311-1322.</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Tristano A. Criptococosis meníngea y lupus eritematoso sistémico:   Reporte de un caso y revisión de la literatura. RevChil Infect. 2010; 27(2):155-159.</w:t>
      </w:r>
    </w:p>
    <w:p>
      <w:pPr>
        <w:pStyle w:val="Normal"/>
        <w:numPr>
          <w:ilvl w:val="0"/>
          <w:numId w:val="2"/>
        </w:numPr>
        <w:spacing w:lineRule="auto" w:line="264" w:before="0" w:after="179"/>
        <w:ind w:left="63" w:hanging="10"/>
        <w:jc w:val="both"/>
        <w:rPr>
          <w:rFonts w:ascii="Arial" w:hAnsi="Arial" w:eastAsia="Calibri" w:cs="Arial"/>
          <w:color w:val="000000"/>
          <w:sz w:val="24"/>
          <w:szCs w:val="24"/>
          <w:lang w:eastAsia="es-ES"/>
        </w:rPr>
      </w:pPr>
      <w:r>
        <w:rPr>
          <w:rFonts w:eastAsia="Arial" w:cs="Arial" w:ascii="Arial" w:hAnsi="Arial"/>
          <w:color w:val="181717"/>
          <w:sz w:val="24"/>
          <w:szCs w:val="24"/>
          <w:lang w:eastAsia="es-ES"/>
        </w:rPr>
        <w:t>Llagunes J, Mateo E, Peña J. Hiperinfeccion por Strongyloides  stercoralis . Med Intensiva. 2010;34(5):353-356.</w:t>
      </w:r>
    </w:p>
    <w:p>
      <w:pPr>
        <w:pStyle w:val="Normal"/>
        <w:rPr>
          <w:rFonts w:ascii="Arial" w:hAnsi="Arial" w:cs="Arial"/>
          <w:sz w:val="24"/>
          <w:szCs w:val="24"/>
        </w:rPr>
      </w:pPr>
      <w:r>
        <w:rPr>
          <w:rFonts w:eastAsia="Arial" w:cs="Arial" w:ascii="Arial" w:hAnsi="Arial"/>
          <w:color w:val="181717"/>
          <w:sz w:val="24"/>
          <w:szCs w:val="24"/>
          <w:lang w:eastAsia="es-ES"/>
        </w:rPr>
        <w:t xml:space="preserve">Gräb J, Suárez I, van Gumpel E, Winter S, Schreiber F, Esser A, et al. Corticosteroids inhibit Mycobacterium tuberculosis – induced.  </w:t>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p>
      <w:pPr>
        <w:pStyle w:val="Normal"/>
        <w:spacing w:before="0" w:after="160"/>
        <w:rPr>
          <w:rFonts w:ascii="Arial" w:hAnsi="Arial" w:cs="Arial"/>
          <w:sz w:val="24"/>
          <w:szCs w:val="24"/>
        </w:rPr>
      </w:pPr>
      <w:r>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Algerian">
    <w:altName w:val="comic"/>
    <w:charset w:val="01"/>
    <w:family w:val="roman"/>
    <w:pitch w:val="variable"/>
  </w:font>
  <w:font w:name="Times New Roman">
    <w:charset w:val="01"/>
    <w:family w:val="roman"/>
    <w:pitch w:val="variable"/>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63"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lvl w:ilvl="1">
      <w:start w:val="1"/>
      <w:numFmt w:val="lowerLetter"/>
      <w:lvlText w:val="%2"/>
      <w:lvlJc w:val="left"/>
      <w:pPr>
        <w:tabs>
          <w:tab w:val="num" w:pos="0"/>
        </w:tabs>
        <w:ind w:left="1080"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lvl w:ilvl="2">
      <w:start w:val="1"/>
      <w:numFmt w:val="lowerRoman"/>
      <w:lvlText w:val="%3"/>
      <w:lvlJc w:val="left"/>
      <w:pPr>
        <w:tabs>
          <w:tab w:val="num" w:pos="0"/>
        </w:tabs>
        <w:ind w:left="1800"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lvl w:ilvl="3">
      <w:start w:val="1"/>
      <w:numFmt w:val="decimal"/>
      <w:lvlText w:val="%4"/>
      <w:lvlJc w:val="left"/>
      <w:pPr>
        <w:tabs>
          <w:tab w:val="num" w:pos="0"/>
        </w:tabs>
        <w:ind w:left="2520"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lvl w:ilvl="4">
      <w:start w:val="1"/>
      <w:numFmt w:val="lowerLetter"/>
      <w:lvlText w:val="%5"/>
      <w:lvlJc w:val="left"/>
      <w:pPr>
        <w:tabs>
          <w:tab w:val="num" w:pos="0"/>
        </w:tabs>
        <w:ind w:left="3240"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lvl w:ilvl="5">
      <w:start w:val="1"/>
      <w:numFmt w:val="lowerRoman"/>
      <w:lvlText w:val="%6"/>
      <w:lvlJc w:val="left"/>
      <w:pPr>
        <w:tabs>
          <w:tab w:val="num" w:pos="0"/>
        </w:tabs>
        <w:ind w:left="3960"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lvl w:ilvl="6">
      <w:start w:val="1"/>
      <w:numFmt w:val="decimal"/>
      <w:lvlText w:val="%7"/>
      <w:lvlJc w:val="left"/>
      <w:pPr>
        <w:tabs>
          <w:tab w:val="num" w:pos="0"/>
        </w:tabs>
        <w:ind w:left="4680"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lvl w:ilvl="7">
      <w:start w:val="1"/>
      <w:numFmt w:val="lowerLetter"/>
      <w:lvlText w:val="%8"/>
      <w:lvlJc w:val="left"/>
      <w:pPr>
        <w:tabs>
          <w:tab w:val="num" w:pos="0"/>
        </w:tabs>
        <w:ind w:left="5400"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lvl w:ilvl="8">
      <w:start w:val="1"/>
      <w:numFmt w:val="lowerRoman"/>
      <w:lvlText w:val="%9"/>
      <w:lvlJc w:val="left"/>
      <w:pPr>
        <w:tabs>
          <w:tab w:val="num" w:pos="0"/>
        </w:tabs>
        <w:ind w:left="6120" w:hanging="0"/>
      </w:pPr>
      <w:rPr>
        <w:dstrike w:val="false"/>
        <w:strike w:val="false"/>
        <w:vertAlign w:val="baseline"/>
        <w:position w:val="0"/>
        <w:sz w:val="14"/>
        <w:sz w:val="14"/>
        <w:i w:val="false"/>
        <w:u w:val="none" w:color="000000"/>
        <w:b w:val="false"/>
        <w:shd w:fill="auto" w:val="clear"/>
        <w:szCs w:val="14"/>
        <w:rFonts w:ascii="Arial" w:hAnsi="Arial" w:eastAsia="Arial" w:cs="Arial"/>
        <w:color w:val="181717"/>
      </w:rPr>
    </w:lvl>
  </w:abstractNum>
  <w:num w:numId="1">
    <w:abstractNumId w:val="1"/>
  </w:num>
  <w:num w:numId="2">
    <w:abstractNumId w:val="2"/>
  </w:num>
</w:numbering>
</file>

<file path=word/settings.xml><?xml version="1.0" encoding="utf-8"?>
<w:settings xmlns:w="http://schemas.openxmlformats.org/wordprocessingml/2006/main">
  <w:zoom w:percent="19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360"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uiPriority w:val="99"/>
    <w:qFormat/>
    <w:rsid w:val="007d1dbe"/>
    <w:rPr>
      <w:rFonts w:eastAsia="" w:cs="Times New Roman" w:eastAsiaTheme="minorEastAsia"/>
      <w:sz w:val="20"/>
      <w:szCs w:val="20"/>
      <w:lang w:eastAsia="es-ES"/>
    </w:rPr>
  </w:style>
  <w:style w:type="character" w:styleId="SubtleEmphasis">
    <w:name w:val="Subtle Emphasis"/>
    <w:basedOn w:val="DefaultParagraphFont"/>
    <w:uiPriority w:val="19"/>
    <w:qFormat/>
    <w:rsid w:val="007d1dbe"/>
    <w:rPr>
      <w:i/>
      <w:iCs/>
    </w:rPr>
  </w:style>
  <w:style w:type="character" w:styleId="EncabezadoCar" w:customStyle="1">
    <w:name w:val="Encabezado Car"/>
    <w:basedOn w:val="DefaultParagraphFont"/>
    <w:uiPriority w:val="99"/>
    <w:qFormat/>
    <w:rsid w:val="00715f1c"/>
    <w:rPr/>
  </w:style>
  <w:style w:type="character" w:styleId="PiedepginaCar" w:customStyle="1">
    <w:name w:val="Pie de página Car"/>
    <w:basedOn w:val="DefaultParagraphFont"/>
    <w:uiPriority w:val="99"/>
    <w:qFormat/>
    <w:rsid w:val="00715f1c"/>
    <w:rPr/>
  </w:style>
  <w:style w:type="character" w:styleId="Strong">
    <w:name w:val="Strong"/>
    <w:basedOn w:val="DefaultParagraphFont"/>
    <w:uiPriority w:val="22"/>
    <w:qFormat/>
    <w:rsid w:val="005d3a4e"/>
    <w:rPr>
      <w:b/>
      <w:bCs/>
    </w:rPr>
  </w:style>
  <w:style w:type="character" w:styleId="IntenseReference">
    <w:name w:val="Intense Reference"/>
    <w:basedOn w:val="DefaultParagraphFont"/>
    <w:uiPriority w:val="32"/>
    <w:qFormat/>
    <w:rsid w:val="00947956"/>
    <w:rPr>
      <w:b/>
      <w:bCs/>
      <w:smallCaps/>
      <w:color w:val="4472C4" w:themeColor="accent1"/>
      <w:spacing w:val="5"/>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lang w:val="zxx" w:eastAsia="zxx" w:bidi="zxx"/>
    </w:rPr>
  </w:style>
  <w:style w:type="paragraph" w:styleId="DecimalAligned" w:customStyle="1">
    <w:name w:val="Decimal Aligned"/>
    <w:basedOn w:val="Normal"/>
    <w:uiPriority w:val="40"/>
    <w:qFormat/>
    <w:rsid w:val="007d1dbe"/>
    <w:pPr>
      <w:tabs>
        <w:tab w:val="clear" w:pos="708"/>
        <w:tab w:val="decimal" w:pos="360" w:leader="none"/>
      </w:tabs>
      <w:spacing w:lineRule="auto" w:line="276" w:before="0" w:after="200"/>
    </w:pPr>
    <w:rPr>
      <w:rFonts w:eastAsia="" w:cs="Times New Roman" w:eastAsiaTheme="minorEastAsia"/>
      <w:lang w:eastAsia="es-ES"/>
    </w:rPr>
  </w:style>
  <w:style w:type="paragraph" w:styleId="Notaalpie">
    <w:name w:val="Footnote Text"/>
    <w:basedOn w:val="Normal"/>
    <w:link w:val="TextonotapieCar"/>
    <w:uiPriority w:val="99"/>
    <w:unhideWhenUsed/>
    <w:rsid w:val="007d1dbe"/>
    <w:pPr>
      <w:spacing w:lineRule="auto" w:line="240" w:before="0" w:after="0"/>
    </w:pPr>
    <w:rPr>
      <w:rFonts w:eastAsia="" w:cs="Times New Roman" w:eastAsiaTheme="minorEastAsia"/>
      <w:sz w:val="20"/>
      <w:szCs w:val="20"/>
      <w:lang w:eastAsia="es-ES"/>
    </w:rPr>
  </w:style>
  <w:style w:type="paragraph" w:styleId="Cabeceraypie">
    <w:name w:val="Cabecera y pie"/>
    <w:basedOn w:val="Normal"/>
    <w:qFormat/>
    <w:pPr/>
    <w:rPr/>
  </w:style>
  <w:style w:type="paragraph" w:styleId="Cabecera">
    <w:name w:val="Header"/>
    <w:basedOn w:val="Normal"/>
    <w:link w:val="EncabezadoCar"/>
    <w:uiPriority w:val="99"/>
    <w:unhideWhenUsed/>
    <w:rsid w:val="00715f1c"/>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715f1c"/>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ee5eb4"/>
    <w:pPr>
      <w:spacing w:before="0" w:after="16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Sombreadoclaro-nfasis1">
    <w:name w:val="Light Shading Accent 1"/>
    <w:basedOn w:val="Tablanormal"/>
    <w:uiPriority w:val="60"/>
    <w:rsid w:val="007d1dbe"/>
    <w:pPr>
      <w:spacing w:after="0" w:line="240" w:lineRule="auto"/>
    </w:pPr>
    <w:rPr>
      <w:rFonts w:eastAsiaTheme="minorEastAsia"/>
      <w:lang w:eastAsia="es-ES"/>
      <w:color w:val="2F5496" w:themeColor="accent1" w:themeShade="bf"/>
    </w:rPr>
    <w:tblPr>
      <w:tblStyleRowBandSize w:val="1"/>
      <w:tblStyleColBandSize w:val="1"/>
      <w:tblBorders>
        <w:top w:val="single" w:color="4472C4" w:themeColor="accent1" w:sz="8" w:space="0"/>
        <w:bottom w:val="single" w:color="4472C4" w:themeColor="accent1" w:sz="8" w:space="0"/>
      </w:tblBorders>
    </w:tblPr>
    <w:tblStylePr w:type="fir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lastRow">
      <w:pPr>
        <w:spacing w:before="0" w:after="0" w:line="240" w:lineRule="auto"/>
      </w:pPr>
      <w:rPr>
        <w:b/>
        <w:bCs/>
      </w:rPr>
      <w:tblPr/>
      <w:tcPr>
        <w:tcBorders>
          <w:top w:val="single" w:color="4472C4" w:themeColor="accent1" w:sz="8" w:space="0"/>
          <w:left w:val="nil"/>
          <w:bottom w:val="single" w:color="4472C4"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amedia2-nfasis1">
    <w:name w:val="Medium List 2 Accent 1"/>
    <w:basedOn w:val="Tablanormal"/>
    <w:uiPriority w:val="66"/>
    <w:rsid w:val="00e66b30"/>
    <w:pPr>
      <w:spacing w:after="0" w:line="240" w:lineRule="auto"/>
    </w:pPr>
    <w:rPr>
      <w:rFonts w:asciiTheme="majorHAnsi" w:hAnsiTheme="majorHAnsi" w:eastAsiaTheme="majorEastAsia" w:cstheme="majorBidi"/>
      <w:lang w:eastAsia="es-ES"/>
      <w:color w:val="000000" w:themeColor="text1"/>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concuadrcula">
    <w:name w:val="Table Grid"/>
    <w:basedOn w:val="Tablanormal"/>
    <w:uiPriority w:val="39"/>
    <w:rsid w:val="00ee616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clara">
    <w:name w:val="Grid Table Light"/>
    <w:basedOn w:val="Tablanormal"/>
    <w:uiPriority w:val="40"/>
    <w:rsid w:val="00ee6165"/>
    <w:pPr>
      <w:spacing w:after="0" w:line="240" w:lineRule="auto"/>
    </w:pPr>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 w:type="table" w:styleId="Tablanormal1">
    <w:name w:val="Plain Table 1"/>
    <w:basedOn w:val="Tablanormal"/>
    <w:uiPriority w:val="41"/>
    <w:rsid w:val="00ee6165"/>
    <w:pPr>
      <w:spacing w:after="0" w:line="240" w:lineRule="auto"/>
    </w:pPr>
    <w:tblPr>
      <w:tblStyleRowBandSize w:val="1"/>
      <w:tblStyleColBandSize w:val="1"/>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tblStylePr w:type="firstRow">
      <w:rPr>
        <w:b/>
        <w:bCs/>
      </w:rPr>
      <w:tblPr/>
    </w:tblStylePr>
    <w:tblStylePr w:type="lastRow">
      <w:rPr>
        <w:b/>
        <w:bCs/>
      </w:rPr>
      <w:tblPr/>
      <w:tcPr>
        <w:tcBorders>
          <w:top w:val="double" w:color="BFBFBF" w:themeColor="background1" w:sz="4" w:space="0"/>
        </w:tcBorders>
      </w:tc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e616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customStyle="1" w:styleId="Estilo1">
    <w:name w:val="Estilo1"/>
    <w:basedOn w:val="Tablamoderna"/>
    <w:uiPriority w:val="99"/>
    <w:rsid w:val="00ee6165"/>
    <w:pPr>
      <w:spacing w:after="0" w:line="240" w:lineRule="auto"/>
    </w:p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anormal3">
    <w:name w:val="Plain Table 3"/>
    <w:basedOn w:val="Tablanormal"/>
    <w:uiPriority w:val="43"/>
    <w:rsid w:val="00ea5d76"/>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moderna">
    <w:name w:val="Table Contemporary"/>
    <w:basedOn w:val="Tablanormal"/>
    <w:uiPriority w:val="99"/>
    <w:semiHidden/>
    <w:unhideWhenUsed/>
    <w:rsid w:val="00ee6165"/>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customStyle="1" w:styleId="Estilo2">
    <w:name w:val="Estilo2"/>
    <w:basedOn w:val="Tablamoderna"/>
    <w:uiPriority w:val="99"/>
    <w:rsid w:val="00ea5d76"/>
    <w:pPr>
      <w:spacing w:after="0" w:line="240" w:lineRule="auto"/>
    </w:pPr>
    <w:r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aconcuadrcula5oscura">
    <w:name w:val="Grid Table 5 Dark"/>
    <w:basedOn w:val="Tablanormal"/>
    <w:uiPriority w:val="50"/>
    <w:rsid w:val="004e579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Grid">
    <w:name w:val="TableGrid"/>
    <w:rsid w:val="00b53c6b"/>
    <w:pPr>
      <w:spacing w:after="0" w:line="240" w:lineRule="auto"/>
    </w:pPr>
    <w:rPr>
      <w:rFonts w:eastAsiaTheme="minorEastAsia"/>
      <w:lang w:eastAsia="es-E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LibreOffice/7.3.1.3$Linux_X86_64 LibreOffice_project/30$Build-3</Application>
  <AppVersion>15.0000</AppVersion>
  <Pages>17</Pages>
  <Words>3430</Words>
  <Characters>19308</Characters>
  <CharactersWithSpaces>22870</CharactersWithSpaces>
  <Paragraphs>248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2022-10-12T12:53:00Z</dcterms:created>
  <dc:creator>Yaniris</dc:creator>
  <dc:description/>
  <dc:language>es-CU</dc:language>
  <cp:lastModifiedBy/>
  <dcterms:modified xsi:type="dcterms:W3CDTF">2022-10-12T09:22:23Z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