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81" w:rsidRDefault="00E33581">
      <w:r w:rsidRPr="00B0233D"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48B8A3C2" wp14:editId="6E6F2D34">
            <wp:simplePos x="0" y="0"/>
            <wp:positionH relativeFrom="column">
              <wp:posOffset>172</wp:posOffset>
            </wp:positionH>
            <wp:positionV relativeFrom="paragraph">
              <wp:posOffset>-689610</wp:posOffset>
            </wp:positionV>
            <wp:extent cx="5968314" cy="915670"/>
            <wp:effectExtent l="0" t="0" r="0" b="0"/>
            <wp:wrapNone/>
            <wp:docPr id="1" name="Imagen 1" descr="C:\Users\PERSONAL\Documents\RESIDENCIA\EVENTOS VIRTUALES\REUMAHLG 2022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cuments\RESIDENCIA\EVENTOS VIRTUALES\REUMAHLG 2022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14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61A" w:rsidRDefault="00C6361A"/>
    <w:p w:rsidR="00E33581" w:rsidRPr="00642015" w:rsidRDefault="00365C75" w:rsidP="00E33581">
      <w:pPr>
        <w:ind w:right="-853" w:hanging="426"/>
        <w:jc w:val="center"/>
        <w:rPr>
          <w:rFonts w:ascii="Arial" w:hAnsi="Arial" w:cs="Arial"/>
          <w:b/>
          <w:sz w:val="28"/>
          <w:szCs w:val="24"/>
        </w:rPr>
      </w:pPr>
      <w:r w:rsidRPr="00642015">
        <w:rPr>
          <w:rFonts w:ascii="Arial" w:hAnsi="Arial" w:cs="Arial"/>
          <w:b/>
          <w:sz w:val="28"/>
          <w:szCs w:val="24"/>
        </w:rPr>
        <w:t xml:space="preserve">Mecanismos moleculares implicados en la artritis reumatoide y su posible relación con la terapia antirreumática </w:t>
      </w:r>
    </w:p>
    <w:p w:rsidR="00E33581" w:rsidRPr="00E33581" w:rsidRDefault="00E33581" w:rsidP="00E33581">
      <w:pPr>
        <w:jc w:val="center"/>
        <w:rPr>
          <w:rFonts w:ascii="Arial" w:hAnsi="Arial" w:cs="Arial"/>
          <w:sz w:val="24"/>
          <w:szCs w:val="24"/>
        </w:rPr>
      </w:pPr>
      <w:r w:rsidRPr="00E33581">
        <w:rPr>
          <w:rFonts w:ascii="Arial" w:hAnsi="Arial" w:cs="Arial"/>
          <w:sz w:val="24"/>
          <w:szCs w:val="24"/>
        </w:rPr>
        <w:t>Aliena Núñez González</w:t>
      </w:r>
      <w:r w:rsidRPr="00E33581">
        <w:rPr>
          <w:rFonts w:ascii="Arial" w:hAnsi="Arial" w:cs="Arial"/>
          <w:sz w:val="24"/>
          <w:szCs w:val="24"/>
          <w:vertAlign w:val="superscript"/>
        </w:rPr>
        <w:t>1</w:t>
      </w:r>
    </w:p>
    <w:p w:rsidR="00E33581" w:rsidRPr="00E33581" w:rsidRDefault="00E33581" w:rsidP="00E33581">
      <w:pPr>
        <w:rPr>
          <w:rFonts w:ascii="Arial" w:hAnsi="Arial" w:cs="Arial"/>
          <w:sz w:val="24"/>
        </w:rPr>
      </w:pPr>
      <w:r w:rsidRPr="00E33581">
        <w:rPr>
          <w:rFonts w:ascii="Arial" w:hAnsi="Arial" w:cs="Arial"/>
          <w:sz w:val="24"/>
          <w:szCs w:val="24"/>
          <w:vertAlign w:val="superscript"/>
        </w:rPr>
        <w:t>1</w:t>
      </w:r>
      <w:r w:rsidRPr="00E33581">
        <w:rPr>
          <w:rFonts w:ascii="Arial" w:hAnsi="Arial" w:cs="Arial"/>
          <w:sz w:val="24"/>
          <w:szCs w:val="24"/>
        </w:rPr>
        <w:t xml:space="preserve">Residente de Segundo Año de Bioquímica Clínica, Universidad de Ciencias Médicas de Granma, Departamento de Ciencias Fisiológicas, Manzanillo, Cuba. Correo electrónico: </w:t>
      </w:r>
      <w:hyperlink r:id="rId6" w:history="1">
        <w:r w:rsidRPr="00E33581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alienangzalez937@gmail.com</w:t>
        </w:r>
      </w:hyperlink>
      <w:r w:rsidRPr="00E33581">
        <w:rPr>
          <w:rFonts w:ascii="Arial" w:hAnsi="Arial" w:cs="Arial"/>
          <w:sz w:val="24"/>
          <w:szCs w:val="24"/>
        </w:rPr>
        <w:t xml:space="preserve"> Número de teléfono móvil: 55966573. </w:t>
      </w:r>
      <w:r w:rsidRPr="00E33581">
        <w:rPr>
          <w:rFonts w:ascii="Arial" w:hAnsi="Arial" w:cs="Arial"/>
          <w:sz w:val="24"/>
        </w:rPr>
        <w:t xml:space="preserve">ORCID: </w:t>
      </w:r>
      <w:hyperlink r:id="rId7" w:history="1">
        <w:r w:rsidRPr="00E33581">
          <w:rPr>
            <w:rFonts w:ascii="Arial" w:hAnsi="Arial" w:cs="Arial"/>
            <w:color w:val="0563C1" w:themeColor="hyperlink"/>
            <w:sz w:val="24"/>
            <w:u w:val="single"/>
          </w:rPr>
          <w:t>https://orcid.org/0000-0001-9389-7942</w:t>
        </w:r>
      </w:hyperlink>
    </w:p>
    <w:p w:rsidR="00E33581" w:rsidRDefault="00E33581" w:rsidP="00E33581">
      <w:pPr>
        <w:rPr>
          <w:rFonts w:ascii="Arial" w:hAnsi="Arial" w:cs="Arial"/>
          <w:sz w:val="24"/>
          <w:szCs w:val="24"/>
        </w:rPr>
      </w:pPr>
      <w:r w:rsidRPr="00E33581">
        <w:rPr>
          <w:rFonts w:ascii="Arial" w:hAnsi="Arial" w:cs="Arial"/>
          <w:sz w:val="24"/>
          <w:szCs w:val="24"/>
        </w:rPr>
        <w:t>Resumen</w:t>
      </w:r>
    </w:p>
    <w:p w:rsidR="00595090" w:rsidRPr="00595090" w:rsidRDefault="00CF13C4" w:rsidP="00595090">
      <w:pPr>
        <w:rPr>
          <w:rFonts w:ascii="Arial" w:hAnsi="Arial" w:cs="Arial"/>
          <w:sz w:val="24"/>
          <w:szCs w:val="24"/>
        </w:rPr>
      </w:pPr>
      <w:r w:rsidRPr="00351B32">
        <w:rPr>
          <w:rFonts w:ascii="Arial" w:hAnsi="Arial" w:cs="Arial"/>
          <w:sz w:val="24"/>
        </w:rPr>
        <w:t>La Artritis Reumatoide (AR) es una enfermedad crónica de carácter inflamatorio que afecta 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las articulaciones, principalmente a las extremidades. Se caracteriza por una inflamación en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la membrana sinovial de las articulaciones que conlleva a una destrucción del cartílago,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incluso del hueso, provocada por una respuesta auto</w:t>
      </w:r>
      <w:r>
        <w:rPr>
          <w:rFonts w:ascii="Arial" w:hAnsi="Arial" w:cs="Arial"/>
          <w:sz w:val="24"/>
        </w:rPr>
        <w:t xml:space="preserve">inmunitaria. </w:t>
      </w:r>
      <w:r w:rsidRPr="00351B32">
        <w:rPr>
          <w:rFonts w:ascii="Arial" w:hAnsi="Arial" w:cs="Arial"/>
          <w:sz w:val="24"/>
        </w:rPr>
        <w:t>A pesar de que la etiología de la enfermedad es inci</w:t>
      </w:r>
      <w:r>
        <w:rPr>
          <w:rFonts w:ascii="Arial" w:hAnsi="Arial" w:cs="Arial"/>
          <w:sz w:val="24"/>
        </w:rPr>
        <w:t xml:space="preserve">erta, los factores genéticos y </w:t>
      </w:r>
      <w:r w:rsidRPr="00351B32">
        <w:rPr>
          <w:rFonts w:ascii="Arial" w:hAnsi="Arial" w:cs="Arial"/>
          <w:sz w:val="24"/>
        </w:rPr>
        <w:t>ambientales parecen desempeñar un papel importante en la activación del sistema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inmunológico y sus respuestas inflamatorias.</w:t>
      </w:r>
      <w:r w:rsidRPr="00595090">
        <w:rPr>
          <w:rFonts w:ascii="Arial" w:hAnsi="Arial" w:cs="Arial"/>
          <w:sz w:val="24"/>
          <w:szCs w:val="24"/>
        </w:rPr>
        <w:t xml:space="preserve"> </w:t>
      </w:r>
      <w:r w:rsidRPr="00351B32">
        <w:rPr>
          <w:rFonts w:ascii="Arial" w:hAnsi="Arial" w:cs="Arial"/>
          <w:sz w:val="24"/>
        </w:rPr>
        <w:t>El tratamiento de la AR debe dirigirse a controlar la actividad inflamatoria, así como evitar la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progresión de las lesiones articulares y prevenirlas, en la medida de lo posible</w:t>
      </w:r>
      <w:r>
        <w:rPr>
          <w:rFonts w:ascii="Arial" w:hAnsi="Arial" w:cs="Arial"/>
          <w:sz w:val="24"/>
        </w:rPr>
        <w:t xml:space="preserve">. </w:t>
      </w:r>
      <w:r w:rsidRPr="00595090">
        <w:rPr>
          <w:rFonts w:ascii="Arial" w:hAnsi="Arial" w:cs="Arial"/>
          <w:sz w:val="24"/>
          <w:szCs w:val="24"/>
        </w:rPr>
        <w:t>Con</w:t>
      </w:r>
      <w:r w:rsidR="00595090" w:rsidRPr="00595090">
        <w:rPr>
          <w:rFonts w:ascii="Arial" w:hAnsi="Arial" w:cs="Arial"/>
          <w:sz w:val="24"/>
          <w:szCs w:val="24"/>
        </w:rPr>
        <w:t xml:space="preserve"> la intención de describir desde el punto de vista molecular cuáles son los mecanismos implicados en el desarrollo de</w:t>
      </w:r>
      <w:r>
        <w:rPr>
          <w:rFonts w:ascii="Arial" w:hAnsi="Arial" w:cs="Arial"/>
          <w:sz w:val="24"/>
          <w:szCs w:val="24"/>
        </w:rPr>
        <w:t xml:space="preserve"> </w:t>
      </w:r>
      <w:r w:rsidR="00595090" w:rsidRPr="0059509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artritis reumatoide y su relación con la terapia antirreumática</w:t>
      </w:r>
      <w:r w:rsidR="00595090" w:rsidRPr="00595090">
        <w:rPr>
          <w:rFonts w:ascii="Arial" w:hAnsi="Arial" w:cs="Arial"/>
          <w:sz w:val="24"/>
          <w:szCs w:val="24"/>
        </w:rPr>
        <w:t>, se realizó esta investigación de tipo revisión bibliográfica. Desde el análisis realizado se consideró que el tratamiento de</w:t>
      </w:r>
      <w:r w:rsidR="00987EF7">
        <w:rPr>
          <w:rFonts w:ascii="Arial" w:hAnsi="Arial" w:cs="Arial"/>
          <w:sz w:val="24"/>
          <w:szCs w:val="24"/>
        </w:rPr>
        <w:t xml:space="preserve"> </w:t>
      </w:r>
      <w:r w:rsidR="00595090" w:rsidRPr="00595090">
        <w:rPr>
          <w:rFonts w:ascii="Arial" w:hAnsi="Arial" w:cs="Arial"/>
          <w:sz w:val="24"/>
          <w:szCs w:val="24"/>
        </w:rPr>
        <w:t>l</w:t>
      </w:r>
      <w:r w:rsidR="00987EF7">
        <w:rPr>
          <w:rFonts w:ascii="Arial" w:hAnsi="Arial" w:cs="Arial"/>
          <w:sz w:val="24"/>
          <w:szCs w:val="24"/>
        </w:rPr>
        <w:t>a</w:t>
      </w:r>
      <w:r w:rsidR="00595090" w:rsidRPr="00595090">
        <w:rPr>
          <w:rFonts w:ascii="Arial" w:hAnsi="Arial" w:cs="Arial"/>
          <w:sz w:val="24"/>
          <w:szCs w:val="24"/>
        </w:rPr>
        <w:t xml:space="preserve"> </w:t>
      </w:r>
      <w:r w:rsidR="00987EF7">
        <w:rPr>
          <w:rFonts w:ascii="Arial" w:hAnsi="Arial" w:cs="Arial"/>
          <w:sz w:val="24"/>
          <w:szCs w:val="24"/>
        </w:rPr>
        <w:t xml:space="preserve">artritis reumatoide debe ir dirigido a su posible casuística siendo un baluarte los nuevos conocimientos sobre genética y biología molecular </w:t>
      </w:r>
      <w:r w:rsidR="00595090" w:rsidRPr="00595090">
        <w:rPr>
          <w:rFonts w:ascii="Arial" w:hAnsi="Arial" w:cs="Arial"/>
          <w:sz w:val="24"/>
          <w:szCs w:val="24"/>
        </w:rPr>
        <w:t>a fin de</w:t>
      </w:r>
      <w:r w:rsidR="004D2DA8" w:rsidRPr="00595090">
        <w:rPr>
          <w:rFonts w:ascii="Arial" w:hAnsi="Arial" w:cs="Arial"/>
          <w:sz w:val="24"/>
          <w:szCs w:val="24"/>
        </w:rPr>
        <w:t xml:space="preserve"> </w:t>
      </w:r>
      <w:r w:rsidR="004D2DA8">
        <w:rPr>
          <w:rFonts w:ascii="Arial" w:hAnsi="Arial" w:cs="Arial"/>
          <w:sz w:val="24"/>
          <w:szCs w:val="24"/>
        </w:rPr>
        <w:t>realizar un mejor manejo terapéutico, así como</w:t>
      </w:r>
      <w:r w:rsidR="00595090" w:rsidRPr="00595090">
        <w:rPr>
          <w:rFonts w:ascii="Arial" w:hAnsi="Arial" w:cs="Arial"/>
          <w:sz w:val="24"/>
          <w:szCs w:val="24"/>
        </w:rPr>
        <w:t xml:space="preserve"> evitar posibles complicaciones en la evolución de los pacientes.</w:t>
      </w:r>
    </w:p>
    <w:p w:rsidR="00595090" w:rsidRPr="00595090" w:rsidRDefault="00595090" w:rsidP="00595090">
      <w:pPr>
        <w:rPr>
          <w:rFonts w:ascii="Arial" w:hAnsi="Arial" w:cs="Arial"/>
          <w:sz w:val="24"/>
          <w:szCs w:val="24"/>
        </w:rPr>
      </w:pPr>
      <w:r w:rsidRPr="00595090">
        <w:rPr>
          <w:rFonts w:ascii="Arial" w:hAnsi="Arial" w:cs="Arial"/>
          <w:sz w:val="24"/>
          <w:szCs w:val="24"/>
        </w:rPr>
        <w:t xml:space="preserve">Palabras claves: </w:t>
      </w:r>
      <w:r w:rsidR="00987EF7">
        <w:rPr>
          <w:rFonts w:ascii="Arial" w:hAnsi="Arial" w:cs="Arial"/>
          <w:sz w:val="24"/>
          <w:szCs w:val="24"/>
        </w:rPr>
        <w:t>artritis reumatoide, respuesta inmune, inflamación,</w:t>
      </w:r>
      <w:r w:rsidR="00591543">
        <w:rPr>
          <w:rFonts w:ascii="Arial" w:hAnsi="Arial" w:cs="Arial"/>
          <w:sz w:val="24"/>
          <w:szCs w:val="24"/>
        </w:rPr>
        <w:t xml:space="preserve"> antirreumáticos. </w:t>
      </w:r>
    </w:p>
    <w:p w:rsidR="00595090" w:rsidRPr="00E33581" w:rsidRDefault="00595090" w:rsidP="00E33581">
      <w:pPr>
        <w:rPr>
          <w:rFonts w:ascii="Arial" w:hAnsi="Arial" w:cs="Arial"/>
          <w:sz w:val="24"/>
          <w:szCs w:val="24"/>
        </w:rPr>
      </w:pPr>
    </w:p>
    <w:p w:rsidR="00E33581" w:rsidRDefault="00785A20" w:rsidP="00E335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Introducción</w:t>
      </w:r>
      <w:r w:rsidR="00E33581">
        <w:rPr>
          <w:rFonts w:ascii="Arial" w:hAnsi="Arial" w:cs="Arial"/>
          <w:sz w:val="24"/>
        </w:rPr>
        <w:t xml:space="preserve"> </w:t>
      </w:r>
    </w:p>
    <w:p w:rsidR="00351B32" w:rsidRPr="00365C75" w:rsidRDefault="00351B32" w:rsidP="00351B32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La Artritis Reumatoide (AR) es una enfermedad crónica de carácter inflamatorio que afecta a</w:t>
      </w:r>
      <w:r w:rsidR="00EB04F7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las articulaciones, principalmente a las extremidades. Se caracteriza por una inflamación en</w:t>
      </w:r>
      <w:r w:rsidR="00EB04F7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la membrana sinovial de las articulaciones que conlleva a una destrucción del cartílago,</w:t>
      </w:r>
      <w:r w:rsidR="00EB04F7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incluso del hueso, provocada por una respuesta auto</w:t>
      </w:r>
      <w:r w:rsidR="00D9623E">
        <w:rPr>
          <w:rFonts w:ascii="Arial" w:hAnsi="Arial" w:cs="Arial"/>
          <w:sz w:val="24"/>
        </w:rPr>
        <w:t>inmunitaria</w:t>
      </w:r>
      <w:r w:rsidRPr="00351B32">
        <w:rPr>
          <w:rFonts w:ascii="Arial" w:hAnsi="Arial" w:cs="Arial"/>
          <w:sz w:val="24"/>
        </w:rPr>
        <w:t>. En la</w:t>
      </w:r>
      <w:r w:rsidR="00EB04F7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mayoría de casos el curso es progresivo y conduce al daño articular irreversible, generando</w:t>
      </w:r>
      <w:r w:rsidR="00EB04F7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la incapacidad funcional de los pacientes y en consecuencia, un deterioro de la calidad de</w:t>
      </w:r>
      <w:r w:rsidR="00EB04F7">
        <w:rPr>
          <w:rFonts w:ascii="Arial" w:hAnsi="Arial" w:cs="Arial"/>
          <w:sz w:val="24"/>
        </w:rPr>
        <w:t xml:space="preserve"> </w:t>
      </w:r>
      <w:r w:rsidR="00D9623E">
        <w:rPr>
          <w:rFonts w:ascii="Arial" w:hAnsi="Arial" w:cs="Arial"/>
          <w:sz w:val="24"/>
        </w:rPr>
        <w:t>vida.</w:t>
      </w:r>
      <w:r w:rsidR="00365C75">
        <w:rPr>
          <w:rFonts w:ascii="Arial" w:hAnsi="Arial" w:cs="Arial"/>
          <w:sz w:val="24"/>
          <w:vertAlign w:val="superscript"/>
        </w:rPr>
        <w:t>1</w:t>
      </w:r>
    </w:p>
    <w:p w:rsidR="00351B32" w:rsidRPr="00DB45C3" w:rsidRDefault="00351B32" w:rsidP="00351B32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La fisiopatología de la AR involucra numerosos tipos celulares, como linfocitos B activados,</w:t>
      </w:r>
      <w:r w:rsidR="00EB04F7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linfocitos T, macrófagos y osteoclastos, entre otras células inflamatorias, así como</w:t>
      </w:r>
      <w:r w:rsidR="00EB04F7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numerosas citoquinas que act</w:t>
      </w:r>
      <w:r w:rsidR="007E5E8B">
        <w:rPr>
          <w:rFonts w:ascii="Arial" w:hAnsi="Arial" w:cs="Arial"/>
          <w:sz w:val="24"/>
        </w:rPr>
        <w:t>úan en cascada, contribuyendo a</w:t>
      </w:r>
      <w:r w:rsidRPr="00351B32">
        <w:rPr>
          <w:rFonts w:ascii="Arial" w:hAnsi="Arial" w:cs="Arial"/>
          <w:sz w:val="24"/>
        </w:rPr>
        <w:t xml:space="preserve"> la destrucción de las</w:t>
      </w:r>
      <w:r w:rsidR="00EB04F7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articul</w:t>
      </w:r>
      <w:r w:rsidR="00D9623E">
        <w:rPr>
          <w:rFonts w:ascii="Arial" w:hAnsi="Arial" w:cs="Arial"/>
          <w:sz w:val="24"/>
        </w:rPr>
        <w:t>aciones.</w:t>
      </w:r>
      <w:r w:rsidR="00DB45C3">
        <w:rPr>
          <w:rFonts w:ascii="Arial" w:hAnsi="Arial" w:cs="Arial"/>
          <w:sz w:val="24"/>
          <w:vertAlign w:val="superscript"/>
        </w:rPr>
        <w:t>1</w:t>
      </w:r>
      <w:r w:rsidR="007E5E8B">
        <w:rPr>
          <w:rFonts w:ascii="Arial" w:hAnsi="Arial" w:cs="Arial"/>
          <w:sz w:val="24"/>
          <w:vertAlign w:val="superscript"/>
        </w:rPr>
        <w:t xml:space="preserve"> </w:t>
      </w:r>
      <w:r w:rsidRPr="00351B32">
        <w:rPr>
          <w:rFonts w:ascii="Arial" w:hAnsi="Arial" w:cs="Arial"/>
          <w:sz w:val="24"/>
        </w:rPr>
        <w:t>A pesar de que la etiología de la enfermedad es inci</w:t>
      </w:r>
      <w:r w:rsidR="00D9623E">
        <w:rPr>
          <w:rFonts w:ascii="Arial" w:hAnsi="Arial" w:cs="Arial"/>
          <w:sz w:val="24"/>
        </w:rPr>
        <w:t>erta, los factores genéticos y</w:t>
      </w:r>
      <w:r w:rsidR="00EB04F7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ambientales parecen desempeñar un papel importante en la activación del sistema</w:t>
      </w:r>
      <w:r w:rsidR="00EB04F7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inmunológico y sus respuestas</w:t>
      </w:r>
      <w:r w:rsidR="007E5E8B">
        <w:rPr>
          <w:rFonts w:ascii="Arial" w:hAnsi="Arial" w:cs="Arial"/>
          <w:sz w:val="24"/>
        </w:rPr>
        <w:t xml:space="preserve"> inflamatorias. Es </w:t>
      </w:r>
      <w:r w:rsidR="007E5E8B" w:rsidRPr="00351B32">
        <w:rPr>
          <w:rFonts w:ascii="Arial" w:hAnsi="Arial" w:cs="Arial"/>
          <w:sz w:val="24"/>
        </w:rPr>
        <w:t>car</w:t>
      </w:r>
      <w:r w:rsidR="007E5E8B">
        <w:rPr>
          <w:rFonts w:ascii="Arial" w:hAnsi="Arial" w:cs="Arial"/>
          <w:sz w:val="24"/>
        </w:rPr>
        <w:t>acterística</w:t>
      </w:r>
      <w:r w:rsidRPr="00351B32">
        <w:rPr>
          <w:rFonts w:ascii="Arial" w:hAnsi="Arial" w:cs="Arial"/>
          <w:sz w:val="24"/>
        </w:rPr>
        <w:t xml:space="preserve"> la</w:t>
      </w:r>
      <w:r w:rsidR="00DF1296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producción de anticuerpos como el Factor Reumatoide (FR) y anticuerpo antipéptido cíclico</w:t>
      </w:r>
      <w:r w:rsidR="00DF1296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citrulinado (ACPA) contra los autoantígenos comunes que se expresan en las articulaciones.</w:t>
      </w:r>
      <w:r w:rsidR="00DB45C3">
        <w:rPr>
          <w:rFonts w:ascii="Arial" w:hAnsi="Arial" w:cs="Arial"/>
          <w:sz w:val="24"/>
          <w:vertAlign w:val="superscript"/>
        </w:rPr>
        <w:t>1, 2</w:t>
      </w:r>
    </w:p>
    <w:p w:rsidR="00351B32" w:rsidRPr="00DB45C3" w:rsidRDefault="00351B32" w:rsidP="00351B32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El tratamiento de la AR debe dirigirse a controlar la actividad inflamatoria, así como evitar la</w:t>
      </w:r>
      <w:r w:rsidR="00DF1296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progresión de las lesiones articulares y prevenirlas, en la medida de lo posible. Aunque los</w:t>
      </w:r>
      <w:r w:rsidR="00DF1296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antiinflamatorios no esteroideos proporcionan un alivio sintomático, el tratamiento para la</w:t>
      </w:r>
      <w:r w:rsidR="006E27FC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enfermedad se basa en los denominados fármacos antirreumáticos modificadores de la</w:t>
      </w:r>
      <w:r w:rsidR="006E27FC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enfermedad (FARME). Además, encontramos otros</w:t>
      </w:r>
      <w:r w:rsidR="006E27FC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agentes biológicos que en los últimos tiempos han mejorado el transcurso de la AR,</w:t>
      </w:r>
      <w:r w:rsidR="006E27FC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demostrando eficacia en cuanto a la inhibición de la pérdida de función, siempre y cuando</w:t>
      </w:r>
      <w:r w:rsidR="006E27FC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sean utilizado</w:t>
      </w:r>
      <w:r w:rsidR="00D9623E">
        <w:rPr>
          <w:rFonts w:ascii="Arial" w:hAnsi="Arial" w:cs="Arial"/>
          <w:sz w:val="24"/>
        </w:rPr>
        <w:t>s en combinación con los FARME.</w:t>
      </w:r>
      <w:r w:rsidR="00DB45C3">
        <w:rPr>
          <w:rFonts w:ascii="Arial" w:hAnsi="Arial" w:cs="Arial"/>
          <w:sz w:val="24"/>
          <w:vertAlign w:val="superscript"/>
        </w:rPr>
        <w:t>3</w:t>
      </w:r>
    </w:p>
    <w:p w:rsidR="00DB45C3" w:rsidRPr="00DB45C3" w:rsidRDefault="00DB45C3" w:rsidP="00DB45C3">
      <w:pPr>
        <w:rPr>
          <w:rFonts w:ascii="Arial" w:hAnsi="Arial" w:cs="Arial"/>
          <w:sz w:val="24"/>
        </w:rPr>
      </w:pPr>
      <w:r w:rsidRPr="00DB45C3">
        <w:rPr>
          <w:rFonts w:ascii="Arial" w:hAnsi="Arial" w:cs="Arial"/>
          <w:sz w:val="24"/>
        </w:rPr>
        <w:t xml:space="preserve">El objetivo de este trabajo es describir desde el punto de vista molecular cuáles son los mecanismos implicados en el desarrollo </w:t>
      </w:r>
      <w:r w:rsidRPr="0059509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artritis reumatoide y su relación con la terapia antirreumática.</w:t>
      </w:r>
    </w:p>
    <w:p w:rsidR="007E5E8B" w:rsidRDefault="007E5E8B" w:rsidP="007B7E10">
      <w:pPr>
        <w:rPr>
          <w:rFonts w:ascii="Arial" w:hAnsi="Arial" w:cs="Arial"/>
          <w:sz w:val="24"/>
        </w:rPr>
      </w:pPr>
    </w:p>
    <w:p w:rsidR="007E5E8B" w:rsidRDefault="007E5E8B" w:rsidP="007B7E10">
      <w:pPr>
        <w:rPr>
          <w:rFonts w:ascii="Arial" w:hAnsi="Arial" w:cs="Arial"/>
          <w:sz w:val="24"/>
        </w:rPr>
      </w:pPr>
    </w:p>
    <w:p w:rsidR="00420C70" w:rsidRDefault="00785A20" w:rsidP="007B7E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Métodos</w:t>
      </w:r>
    </w:p>
    <w:p w:rsidR="007B7E10" w:rsidRDefault="00420C70" w:rsidP="007B7E10">
      <w:pPr>
        <w:rPr>
          <w:rFonts w:ascii="Arial" w:hAnsi="Arial" w:cs="Arial"/>
          <w:sz w:val="24"/>
        </w:rPr>
      </w:pPr>
      <w:r w:rsidRPr="00420C70">
        <w:rPr>
          <w:rFonts w:ascii="Arial" w:hAnsi="Arial" w:cs="Arial"/>
          <w:sz w:val="24"/>
        </w:rPr>
        <w:t>Se realizó una investigación de tipo revisión bibliográfica. Para identificar los documentos que se revisarían se consultaron bases bibliográficas como PubMed/Medline, Elsevier y Cochrane incluyendo los trabajos de los últimos diez años. A partir de ello se desarrolló un análisis cualitativo, según el propósito trazado en esta investigación.</w:t>
      </w:r>
    </w:p>
    <w:p w:rsidR="007B7E10" w:rsidRDefault="00785A20" w:rsidP="007B7E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Discusión/Resultados</w:t>
      </w:r>
    </w:p>
    <w:p w:rsidR="007B7E10" w:rsidRPr="00A06608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Se ha observado un fuerte componente génico en estudios de enfermedades autoinmunes.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De todos los genes que se asocian a la autoinmunidad,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las asociaciones más fuertes se encuentran en los genes del complejo mayor de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histocompatibilidad (MHC) de clase II</w:t>
      </w:r>
      <w:r w:rsidR="007E5E8B">
        <w:rPr>
          <w:rFonts w:ascii="Arial" w:hAnsi="Arial" w:cs="Arial"/>
          <w:sz w:val="24"/>
          <w:vertAlign w:val="superscript"/>
        </w:rPr>
        <w:t>4</w:t>
      </w:r>
      <w:r w:rsidRPr="00351B32">
        <w:rPr>
          <w:rFonts w:ascii="Arial" w:hAnsi="Arial" w:cs="Arial"/>
          <w:sz w:val="24"/>
        </w:rPr>
        <w:t>. Es la única región del genoma que ha demostrado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 xml:space="preserve">estar asociada </w:t>
      </w:r>
      <w:r w:rsidR="007E5E8B">
        <w:rPr>
          <w:rFonts w:ascii="Arial" w:hAnsi="Arial" w:cs="Arial"/>
          <w:sz w:val="24"/>
        </w:rPr>
        <w:t xml:space="preserve">con la Artritis Reumatoide </w:t>
      </w:r>
      <w:r w:rsidRPr="00351B32">
        <w:rPr>
          <w:rFonts w:ascii="Arial" w:hAnsi="Arial" w:cs="Arial"/>
          <w:sz w:val="24"/>
        </w:rPr>
        <w:t>de manera consistente, contribuyendo con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aproximadamente el 30% de la susceptibilidad genética a la enfe</w:t>
      </w:r>
      <w:r>
        <w:rPr>
          <w:rFonts w:ascii="Arial" w:hAnsi="Arial" w:cs="Arial"/>
          <w:sz w:val="24"/>
        </w:rPr>
        <w:t>rmedad</w:t>
      </w:r>
      <w:r w:rsidRPr="00351B32">
        <w:rPr>
          <w:rFonts w:ascii="Arial" w:hAnsi="Arial" w:cs="Arial"/>
          <w:sz w:val="24"/>
        </w:rPr>
        <w:t>. Luego encontramos otros loci responsables de enfermedades concretas, pudiendo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afectar a algún órgano o a linfocitos autorreactivos específicos. No obstante, la relación</w:t>
      </w:r>
      <w:r w:rsidR="007E5E8B">
        <w:rPr>
          <w:rFonts w:ascii="Arial" w:hAnsi="Arial" w:cs="Arial"/>
          <w:sz w:val="24"/>
        </w:rPr>
        <w:t xml:space="preserve"> de</w:t>
      </w:r>
      <w:r w:rsidRPr="00351B32">
        <w:rPr>
          <w:rFonts w:ascii="Arial" w:hAnsi="Arial" w:cs="Arial"/>
          <w:sz w:val="24"/>
        </w:rPr>
        <w:t xml:space="preserve"> varios genes entre sí junto con factores ambientales, sigue siendo motivo de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desconocimiento.</w:t>
      </w:r>
      <w:r w:rsidR="00A06608">
        <w:rPr>
          <w:rFonts w:ascii="Arial" w:hAnsi="Arial" w:cs="Arial"/>
          <w:sz w:val="24"/>
          <w:vertAlign w:val="superscript"/>
        </w:rPr>
        <w:t>4</w:t>
      </w:r>
    </w:p>
    <w:p w:rsidR="007B7E10" w:rsidRPr="00A06608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Se ha sospechado durante mucho tiempo que los factores genéticos y ambientales trabajan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juntos para el desarrollo de la enfermedad. La discordancia en el desarrollo de la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enfermedad reumatoide entre gemelos idénticos sugiere que los factores no genéticos son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también imp</w:t>
      </w:r>
      <w:r>
        <w:rPr>
          <w:rFonts w:ascii="Arial" w:hAnsi="Arial" w:cs="Arial"/>
          <w:sz w:val="24"/>
        </w:rPr>
        <w:t>ortantes</w:t>
      </w:r>
      <w:r w:rsidRPr="00351B32">
        <w:rPr>
          <w:rFonts w:ascii="Arial" w:hAnsi="Arial" w:cs="Arial"/>
          <w:sz w:val="24"/>
        </w:rPr>
        <w:t>, entre ellos la dieta, la exposición a toxinas o</w:t>
      </w:r>
      <w:r>
        <w:rPr>
          <w:rFonts w:ascii="Arial" w:hAnsi="Arial" w:cs="Arial"/>
          <w:sz w:val="24"/>
        </w:rPr>
        <w:t xml:space="preserve"> </w:t>
      </w:r>
      <w:r w:rsidR="007E5E8B">
        <w:rPr>
          <w:rFonts w:ascii="Arial" w:hAnsi="Arial" w:cs="Arial"/>
          <w:sz w:val="24"/>
        </w:rPr>
        <w:t>incluso el estatus socio</w:t>
      </w:r>
      <w:r w:rsidRPr="00351B32">
        <w:rPr>
          <w:rFonts w:ascii="Arial" w:hAnsi="Arial" w:cs="Arial"/>
          <w:sz w:val="24"/>
        </w:rPr>
        <w:t>económico.</w:t>
      </w:r>
      <w:r w:rsidR="00A06608">
        <w:rPr>
          <w:rFonts w:ascii="Arial" w:hAnsi="Arial" w:cs="Arial"/>
          <w:sz w:val="24"/>
          <w:vertAlign w:val="superscript"/>
        </w:rPr>
        <w:t>4, 5</w:t>
      </w:r>
    </w:p>
    <w:p w:rsidR="007B7E10" w:rsidRDefault="007B7E10" w:rsidP="007B7E10">
      <w:pPr>
        <w:rPr>
          <w:rFonts w:ascii="Arial" w:hAnsi="Arial" w:cs="Arial"/>
          <w:sz w:val="24"/>
        </w:rPr>
      </w:pPr>
      <w:r w:rsidRPr="00351B32">
        <w:rPr>
          <w:rFonts w:ascii="Arial" w:hAnsi="Arial" w:cs="Arial"/>
          <w:sz w:val="24"/>
        </w:rPr>
        <w:t>Muchos factores ambientales se han asociado con la AR, pero sólo el tabaquismo ha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mostrado evidencias significativas de interacción con ciertos genes. Los primeros estudios</w:t>
      </w:r>
      <w:r>
        <w:rPr>
          <w:rFonts w:ascii="Arial" w:hAnsi="Arial" w:cs="Arial"/>
          <w:sz w:val="24"/>
        </w:rPr>
        <w:t xml:space="preserve"> </w:t>
      </w:r>
      <w:r w:rsidR="007E5E8B">
        <w:rPr>
          <w:rFonts w:ascii="Arial" w:hAnsi="Arial" w:cs="Arial"/>
          <w:sz w:val="24"/>
        </w:rPr>
        <w:t xml:space="preserve">sobre esta interacción </w:t>
      </w:r>
      <w:r w:rsidRPr="00351B32">
        <w:rPr>
          <w:rFonts w:ascii="Arial" w:hAnsi="Arial" w:cs="Arial"/>
          <w:sz w:val="24"/>
        </w:rPr>
        <w:t>mostraban que el riesgo de padecer la enfermedad estaba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fuertemente influen</w:t>
      </w:r>
      <w:r>
        <w:rPr>
          <w:rFonts w:ascii="Arial" w:hAnsi="Arial" w:cs="Arial"/>
          <w:sz w:val="24"/>
        </w:rPr>
        <w:t>ciada por el tabaquismo</w:t>
      </w:r>
      <w:r w:rsidRPr="00351B32">
        <w:rPr>
          <w:rFonts w:ascii="Arial" w:hAnsi="Arial" w:cs="Arial"/>
          <w:sz w:val="24"/>
        </w:rPr>
        <w:t>.</w:t>
      </w:r>
      <w:r w:rsidR="00A06608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Posteriormente, estudios específicos que examinaron el impacto del tabaquismo en función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de la intensidad, la duración o el cese, corroboraron que fumar incrementa también el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desarrollo de la enfermedad, basándose en la interacción significativa entre un polimorfismo</w:t>
      </w:r>
      <w:r>
        <w:rPr>
          <w:rFonts w:ascii="Arial" w:hAnsi="Arial" w:cs="Arial"/>
          <w:sz w:val="24"/>
        </w:rPr>
        <w:t xml:space="preserve"> del gen GSTT1 y el </w:t>
      </w:r>
      <w:r w:rsidRPr="00351B32">
        <w:rPr>
          <w:rFonts w:ascii="Arial" w:hAnsi="Arial" w:cs="Arial"/>
          <w:sz w:val="24"/>
        </w:rPr>
        <w:t>tabaquismo intensivo.</w:t>
      </w:r>
      <w:r w:rsidR="00A06608">
        <w:rPr>
          <w:rFonts w:ascii="Arial" w:hAnsi="Arial" w:cs="Arial"/>
          <w:sz w:val="24"/>
          <w:vertAlign w:val="superscript"/>
        </w:rPr>
        <w:t>5</w:t>
      </w:r>
      <w:r w:rsidRPr="00351B32">
        <w:rPr>
          <w:rFonts w:ascii="Arial" w:hAnsi="Arial" w:cs="Arial"/>
          <w:sz w:val="24"/>
        </w:rPr>
        <w:t xml:space="preserve"> </w:t>
      </w:r>
    </w:p>
    <w:p w:rsidR="007B7E10" w:rsidRPr="00A06608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lastRenderedPageBreak/>
        <w:t>Hay evidencias de que la autoinmunidad y la inflamación sistémica relacionada con la AR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comienzan mucho antes de que se produce la inflamación articular evidente. Los datos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sugieren que la autoinmunidad relacionada con la AR</w:t>
      </w:r>
      <w:r w:rsidR="007E5E8B">
        <w:rPr>
          <w:rFonts w:ascii="Arial" w:hAnsi="Arial" w:cs="Arial"/>
          <w:sz w:val="24"/>
        </w:rPr>
        <w:t xml:space="preserve"> podría iniciarse en algún sitio</w:t>
      </w:r>
      <w:r w:rsidRPr="00351B32">
        <w:rPr>
          <w:rFonts w:ascii="Arial" w:hAnsi="Arial" w:cs="Arial"/>
          <w:sz w:val="24"/>
        </w:rPr>
        <w:t xml:space="preserve"> muchos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años antes del inicio de los síntomas articulares típicos. No obstante, se necesitan más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investigaciones para determinar dónde y cuándo comienza la AR, incluyendo es</w:t>
      </w:r>
      <w:r w:rsidR="007E5E8B">
        <w:rPr>
          <w:rFonts w:ascii="Arial" w:hAnsi="Arial" w:cs="Arial"/>
          <w:sz w:val="24"/>
        </w:rPr>
        <w:t>tudios pre</w:t>
      </w:r>
      <w:r w:rsidRPr="00351B32">
        <w:rPr>
          <w:rFonts w:ascii="Arial" w:hAnsi="Arial" w:cs="Arial"/>
          <w:sz w:val="24"/>
        </w:rPr>
        <w:t>clínicos, que podrían proporcionar información sobre la relación entre la producción de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autoanticuerpos relacionados con la enfermedad y la posterior inflamación.</w:t>
      </w:r>
      <w:r w:rsidR="00A06608">
        <w:rPr>
          <w:rFonts w:ascii="Arial" w:hAnsi="Arial" w:cs="Arial"/>
          <w:sz w:val="24"/>
          <w:vertAlign w:val="superscript"/>
        </w:rPr>
        <w:t>6</w:t>
      </w:r>
    </w:p>
    <w:p w:rsidR="007B7E10" w:rsidRPr="00A06608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Desafortunadamente, una limitación importante para desarrollar estrategias preventivas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eficaces para la AR ha sido el escaso conocimiento de los mecanismos de desarrollo de la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enfermedad, concretamente en la identificación de dónde y cuándo comienza la AR. Sin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embargo, en los últimos años, ha habido una mayor comprensión de los mecanismos de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desarrollo temprano.</w:t>
      </w:r>
      <w:r w:rsidR="00A06608">
        <w:rPr>
          <w:rFonts w:ascii="Arial" w:hAnsi="Arial" w:cs="Arial"/>
          <w:sz w:val="24"/>
          <w:vertAlign w:val="superscript"/>
        </w:rPr>
        <w:t>6</w:t>
      </w:r>
    </w:p>
    <w:p w:rsidR="007B7E10" w:rsidRPr="00A06608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Los marcadores sanguíneos y serológicos tienen ventajas sobre las pruebas radiológicas</w:t>
      </w:r>
      <w:r w:rsidR="00BD2C36">
        <w:rPr>
          <w:rFonts w:ascii="Arial" w:hAnsi="Arial" w:cs="Arial"/>
          <w:sz w:val="24"/>
        </w:rPr>
        <w:t xml:space="preserve"> en el diagnóstico de la enfermedad</w:t>
      </w:r>
      <w:r w:rsidRPr="00351B32">
        <w:rPr>
          <w:rFonts w:ascii="Arial" w:hAnsi="Arial" w:cs="Arial"/>
          <w:sz w:val="24"/>
        </w:rPr>
        <w:t>, ya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que pueden ser detectados antes de las primeras manifestaciones físicas. La AR está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asociada con la presencia de diferentes autoanticuerpos como el factor reumatoide (FR), el</w:t>
      </w:r>
      <w:r>
        <w:rPr>
          <w:rFonts w:ascii="Arial" w:hAnsi="Arial" w:cs="Arial"/>
          <w:sz w:val="24"/>
        </w:rPr>
        <w:t xml:space="preserve"> anticuerpo cíclico </w:t>
      </w:r>
      <w:r w:rsidRPr="00351B32">
        <w:rPr>
          <w:rFonts w:ascii="Arial" w:hAnsi="Arial" w:cs="Arial"/>
          <w:sz w:val="24"/>
        </w:rPr>
        <w:t>citrulinado (ACPA), la proteína C reactiva (PCR), la tasa de sedimentación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de eritrocitos (ESR) y los a</w:t>
      </w:r>
      <w:r>
        <w:rPr>
          <w:rFonts w:ascii="Arial" w:hAnsi="Arial" w:cs="Arial"/>
          <w:sz w:val="24"/>
        </w:rPr>
        <w:t>nticuerpos antinucleares (ANA).</w:t>
      </w:r>
      <w:r w:rsidR="00A06608">
        <w:rPr>
          <w:rFonts w:ascii="Arial" w:hAnsi="Arial" w:cs="Arial"/>
          <w:sz w:val="24"/>
          <w:vertAlign w:val="superscript"/>
        </w:rPr>
        <w:t>7</w:t>
      </w:r>
    </w:p>
    <w:p w:rsidR="007B7E10" w:rsidRPr="00A06608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Los estudios de metaanálisis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revelan una mayor especificidad del ACPA en cuanto a la predicción del desarrollo de la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enfermedad, y</w:t>
      </w:r>
      <w:r w:rsidR="007E5E8B">
        <w:rPr>
          <w:rFonts w:ascii="Arial" w:hAnsi="Arial" w:cs="Arial"/>
          <w:sz w:val="24"/>
        </w:rPr>
        <w:t>a que el FR no es exclusivo de e</w:t>
      </w:r>
      <w:r w:rsidRPr="00351B32">
        <w:rPr>
          <w:rFonts w:ascii="Arial" w:hAnsi="Arial" w:cs="Arial"/>
          <w:sz w:val="24"/>
        </w:rPr>
        <w:t>sta</w:t>
      </w:r>
      <w:r>
        <w:rPr>
          <w:rFonts w:ascii="Arial" w:hAnsi="Arial" w:cs="Arial"/>
          <w:sz w:val="24"/>
        </w:rPr>
        <w:t xml:space="preserve">. En el </w:t>
      </w:r>
      <w:r w:rsidRPr="00351B32">
        <w:rPr>
          <w:rFonts w:ascii="Arial" w:hAnsi="Arial" w:cs="Arial"/>
          <w:sz w:val="24"/>
        </w:rPr>
        <w:t>caso de la PCR y la ESR, sus niveles se usan para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seguir la actividad de la enfermedad y la respuesta a la medicación, ya que son potenciales</w:t>
      </w:r>
      <w:r>
        <w:rPr>
          <w:rFonts w:ascii="Arial" w:hAnsi="Arial" w:cs="Arial"/>
          <w:sz w:val="24"/>
        </w:rPr>
        <w:t xml:space="preserve"> marcadores de inflamación.</w:t>
      </w:r>
      <w:r w:rsidR="00A06608">
        <w:rPr>
          <w:rFonts w:ascii="Arial" w:hAnsi="Arial" w:cs="Arial"/>
          <w:sz w:val="24"/>
          <w:vertAlign w:val="superscript"/>
        </w:rPr>
        <w:t>6, 7</w:t>
      </w:r>
    </w:p>
    <w:p w:rsidR="007B7E10" w:rsidRPr="00A06608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El hecho de no tolerar antígenos propios, llamados autógenos, da lugar a respuestas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inmunitarias. Dichas reacciones las conocemos como autoinmunidad, y las enfermedades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 xml:space="preserve">causadas </w:t>
      </w:r>
      <w:r>
        <w:rPr>
          <w:rFonts w:ascii="Arial" w:hAnsi="Arial" w:cs="Arial"/>
          <w:sz w:val="24"/>
        </w:rPr>
        <w:t xml:space="preserve">por este </w:t>
      </w:r>
      <w:r w:rsidRPr="00351B32">
        <w:rPr>
          <w:rFonts w:ascii="Arial" w:hAnsi="Arial" w:cs="Arial"/>
          <w:sz w:val="24"/>
        </w:rPr>
        <w:t>fenómeno son las llamadas enfermedades autoinmunes, de las que es un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ejemplo la Artritis Reumatoide.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Al identificar genes que puedan asociarse a la autoinmunidad en animales y humanos, ha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sido posible averiguar algunos mecanismos de la tolerancia frente a lo propio. Sin embargo,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se desconoce qué es exactamente lo que fracasa y da lugar a las enfermedades autoinmunes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frecuentes.</w:t>
      </w:r>
      <w:r w:rsidR="00A06608">
        <w:rPr>
          <w:rFonts w:ascii="Arial" w:hAnsi="Arial" w:cs="Arial"/>
          <w:sz w:val="24"/>
          <w:vertAlign w:val="superscript"/>
        </w:rPr>
        <w:t>8</w:t>
      </w:r>
    </w:p>
    <w:p w:rsidR="007E5E8B" w:rsidRDefault="007B7E10" w:rsidP="007B7E10">
      <w:pPr>
        <w:rPr>
          <w:rFonts w:ascii="Arial" w:hAnsi="Arial" w:cs="Arial"/>
          <w:sz w:val="24"/>
        </w:rPr>
      </w:pPr>
      <w:r w:rsidRPr="00351B32">
        <w:rPr>
          <w:rFonts w:ascii="Arial" w:hAnsi="Arial" w:cs="Arial"/>
          <w:sz w:val="24"/>
        </w:rPr>
        <w:lastRenderedPageBreak/>
        <w:t>Las citoquinas son proteínas secretadas por las células de la inmunidad innata y adaptativa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involucradas en casi todos los procesos biológicos importantes,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incluyendo el crecimiento y activación celular, la inflamación, la inmunidad y la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dife</w:t>
      </w:r>
      <w:r>
        <w:rPr>
          <w:rFonts w:ascii="Arial" w:hAnsi="Arial" w:cs="Arial"/>
          <w:sz w:val="24"/>
        </w:rPr>
        <w:t>renciación</w:t>
      </w:r>
      <w:r w:rsidRPr="00351B32">
        <w:rPr>
          <w:rFonts w:ascii="Arial" w:hAnsi="Arial" w:cs="Arial"/>
          <w:sz w:val="24"/>
        </w:rPr>
        <w:t>. Por lo tanto, no es de extrañar que tengan un papel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importante en una enfermedad autoinmune como la AR, en la que hay inflamación crónica,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con una eventual destrucción de cartílago</w:t>
      </w:r>
      <w:r>
        <w:rPr>
          <w:rFonts w:ascii="Arial" w:hAnsi="Arial" w:cs="Arial"/>
          <w:sz w:val="24"/>
        </w:rPr>
        <w:t xml:space="preserve"> y hueso.</w:t>
      </w:r>
      <w:r w:rsidR="00A06608">
        <w:rPr>
          <w:rFonts w:ascii="Arial" w:hAnsi="Arial" w:cs="Arial"/>
          <w:sz w:val="24"/>
        </w:rPr>
        <w:t xml:space="preserve"> </w:t>
      </w:r>
    </w:p>
    <w:p w:rsidR="007B7E10" w:rsidRPr="00A06608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Se cree que las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citoquinas activan las células sinoviales para que produzcan enzimas hidrolítica</w:t>
      </w:r>
      <w:r>
        <w:rPr>
          <w:rFonts w:ascii="Arial" w:hAnsi="Arial" w:cs="Arial"/>
          <w:sz w:val="24"/>
        </w:rPr>
        <w:t>s</w:t>
      </w:r>
      <w:r w:rsidRPr="00351B32">
        <w:rPr>
          <w:rFonts w:ascii="Arial" w:hAnsi="Arial" w:cs="Arial"/>
          <w:sz w:val="24"/>
        </w:rPr>
        <w:t xml:space="preserve"> que median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la destrucción del cartílago, ligamentos y tendones de las articulaciones. Muchas de las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citoquinas implicadas probablemente se produzcan a consecuencia de la activación local de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células T y</w:t>
      </w:r>
      <w:r>
        <w:rPr>
          <w:rFonts w:ascii="Arial" w:hAnsi="Arial" w:cs="Arial"/>
          <w:sz w:val="24"/>
        </w:rPr>
        <w:t xml:space="preserve"> macrófagos</w:t>
      </w:r>
      <w:r w:rsidRPr="00351B32">
        <w:rPr>
          <w:rFonts w:ascii="Arial" w:hAnsi="Arial" w:cs="Arial"/>
          <w:sz w:val="24"/>
        </w:rPr>
        <w:t>.</w:t>
      </w:r>
      <w:r w:rsidR="00A06608">
        <w:rPr>
          <w:rFonts w:ascii="Arial" w:hAnsi="Arial" w:cs="Arial"/>
          <w:sz w:val="24"/>
          <w:vertAlign w:val="superscript"/>
        </w:rPr>
        <w:t>9</w:t>
      </w:r>
    </w:p>
    <w:p w:rsidR="007B7E10" w:rsidRPr="005E7E5B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La AR exhibe una infiltración masiva de células inmunes inflamatorias innatas, incluyendo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macrófagos, neutrófilos, mastocitos y células dendríticas en la articulación afectada. Estas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 xml:space="preserve">células inmunes </w:t>
      </w:r>
      <w:r w:rsidR="007E5E8B">
        <w:rPr>
          <w:rFonts w:ascii="Arial" w:hAnsi="Arial" w:cs="Arial"/>
          <w:sz w:val="24"/>
        </w:rPr>
        <w:t>innatas producen citoquinas pro</w:t>
      </w:r>
      <w:r w:rsidRPr="00351B32">
        <w:rPr>
          <w:rFonts w:ascii="Arial" w:hAnsi="Arial" w:cs="Arial"/>
          <w:sz w:val="24"/>
        </w:rPr>
        <w:t>inflamatorias, quimiocinas y enzimas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degradadoras de la matriz que impulsan la fase inflamatoria de la artritis.</w:t>
      </w:r>
      <w:r w:rsidR="005E7E5B">
        <w:rPr>
          <w:rFonts w:ascii="Arial" w:hAnsi="Arial" w:cs="Arial"/>
          <w:sz w:val="24"/>
          <w:vertAlign w:val="superscript"/>
        </w:rPr>
        <w:t>9</w:t>
      </w:r>
    </w:p>
    <w:p w:rsidR="007B7E10" w:rsidRPr="005E7E5B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Aunque el mayor daño de esta patología se produce en la membrana sinovial, el líquido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sinovial es más fácilmente accesible, y se ha observado la presencia de la IL-1, junto a una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mezcla de numerosos componentes, que podrían inhibir o agravar la acción de las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citoquinas. No obstante la expresión de citoquinas en la membrana sinovial es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probablemente de mayor relevancia para la patogénesis de la AR, ya que este es el sitio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principal de la actividad inmune e infl</w:t>
      </w:r>
      <w:r>
        <w:rPr>
          <w:rFonts w:ascii="Arial" w:hAnsi="Arial" w:cs="Arial"/>
          <w:sz w:val="24"/>
        </w:rPr>
        <w:t>amatoria</w:t>
      </w:r>
      <w:r w:rsidRPr="00351B32">
        <w:rPr>
          <w:rFonts w:ascii="Arial" w:hAnsi="Arial" w:cs="Arial"/>
          <w:sz w:val="24"/>
        </w:rPr>
        <w:t>.</w:t>
      </w:r>
      <w:r w:rsidR="005E7E5B">
        <w:rPr>
          <w:rFonts w:ascii="Arial" w:hAnsi="Arial" w:cs="Arial"/>
          <w:sz w:val="24"/>
          <w:vertAlign w:val="superscript"/>
        </w:rPr>
        <w:t>10</w:t>
      </w:r>
    </w:p>
    <w:p w:rsidR="007B7E10" w:rsidRPr="005E7E5B" w:rsidRDefault="007E5E8B" w:rsidP="007B7E10">
      <w:pPr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>Las citoquinas pro</w:t>
      </w:r>
      <w:r w:rsidR="007B7E10" w:rsidRPr="00351B32">
        <w:rPr>
          <w:rFonts w:ascii="Arial" w:hAnsi="Arial" w:cs="Arial"/>
          <w:sz w:val="24"/>
        </w:rPr>
        <w:t>inflamatorias actúan como moléculas efectoras fundamentales: el factor</w:t>
      </w:r>
      <w:r w:rsidR="007B7E10">
        <w:rPr>
          <w:rFonts w:ascii="Arial" w:hAnsi="Arial" w:cs="Arial"/>
          <w:sz w:val="24"/>
        </w:rPr>
        <w:t xml:space="preserve"> </w:t>
      </w:r>
      <w:r w:rsidR="007B7E10" w:rsidRPr="00351B32">
        <w:rPr>
          <w:rFonts w:ascii="Arial" w:hAnsi="Arial" w:cs="Arial"/>
          <w:sz w:val="24"/>
        </w:rPr>
        <w:t xml:space="preserve">de necrosis tumoral α (TNF-α, </w:t>
      </w:r>
      <w:r w:rsidR="007B7E10" w:rsidRPr="007E5E8B">
        <w:rPr>
          <w:rFonts w:ascii="Arial" w:hAnsi="Arial" w:cs="Arial"/>
          <w:i/>
          <w:sz w:val="24"/>
        </w:rPr>
        <w:t>tumor necrosis factor</w:t>
      </w:r>
      <w:r w:rsidR="007B7E10" w:rsidRPr="00351B32">
        <w:rPr>
          <w:rFonts w:ascii="Arial" w:hAnsi="Arial" w:cs="Arial"/>
          <w:sz w:val="24"/>
        </w:rPr>
        <w:t>) y la IL-1 son los principales</w:t>
      </w:r>
      <w:r w:rsidR="007B7E10">
        <w:rPr>
          <w:rFonts w:ascii="Arial" w:hAnsi="Arial" w:cs="Arial"/>
          <w:sz w:val="24"/>
        </w:rPr>
        <w:t xml:space="preserve"> </w:t>
      </w:r>
      <w:r w:rsidR="007B7E10" w:rsidRPr="00351B32">
        <w:rPr>
          <w:rFonts w:ascii="Arial" w:hAnsi="Arial" w:cs="Arial"/>
          <w:sz w:val="24"/>
        </w:rPr>
        <w:t>componentes del proceso inflamatorio y parecen actuar en conjunto. El TNF-α es un</w:t>
      </w:r>
      <w:r w:rsidR="007B7E10">
        <w:rPr>
          <w:rFonts w:ascii="Arial" w:hAnsi="Arial" w:cs="Arial"/>
          <w:sz w:val="24"/>
        </w:rPr>
        <w:t xml:space="preserve"> </w:t>
      </w:r>
      <w:r w:rsidR="007B7E10" w:rsidRPr="00351B32">
        <w:rPr>
          <w:rFonts w:ascii="Arial" w:hAnsi="Arial" w:cs="Arial"/>
          <w:sz w:val="24"/>
        </w:rPr>
        <w:t>estímulo importante para las células productoras de mediadores inflamatorios, mientras que</w:t>
      </w:r>
      <w:r w:rsidR="007B7E10">
        <w:rPr>
          <w:rFonts w:ascii="Arial" w:hAnsi="Arial" w:cs="Arial"/>
          <w:sz w:val="24"/>
        </w:rPr>
        <w:t xml:space="preserve"> </w:t>
      </w:r>
      <w:r w:rsidR="007B7E10" w:rsidRPr="00351B32">
        <w:rPr>
          <w:rFonts w:ascii="Arial" w:hAnsi="Arial" w:cs="Arial"/>
          <w:sz w:val="24"/>
        </w:rPr>
        <w:t>la IL-1 media la destrucción del cartílago y el hueso. El TNF estimula en las células</w:t>
      </w:r>
      <w:r w:rsidR="007B7E10">
        <w:rPr>
          <w:rFonts w:ascii="Arial" w:hAnsi="Arial" w:cs="Arial"/>
          <w:sz w:val="24"/>
        </w:rPr>
        <w:t xml:space="preserve"> </w:t>
      </w:r>
      <w:r w:rsidR="007B7E10" w:rsidRPr="00351B32">
        <w:rPr>
          <w:rFonts w:ascii="Arial" w:hAnsi="Arial" w:cs="Arial"/>
          <w:sz w:val="24"/>
        </w:rPr>
        <w:t>endoteliales y los macrófagos la secreción de citoquinas que inducen el reclutamiento de</w:t>
      </w:r>
      <w:r w:rsidR="007B7E10">
        <w:rPr>
          <w:rFonts w:ascii="Arial" w:hAnsi="Arial" w:cs="Arial"/>
          <w:sz w:val="24"/>
        </w:rPr>
        <w:t xml:space="preserve"> </w:t>
      </w:r>
      <w:r w:rsidR="007B7E10" w:rsidRPr="00351B32">
        <w:rPr>
          <w:rFonts w:ascii="Arial" w:hAnsi="Arial" w:cs="Arial"/>
          <w:sz w:val="24"/>
        </w:rPr>
        <w:t>leucocitos y la estimulación de la secrec</w:t>
      </w:r>
      <w:r w:rsidR="007B7E10">
        <w:rPr>
          <w:rFonts w:ascii="Arial" w:hAnsi="Arial" w:cs="Arial"/>
          <w:sz w:val="24"/>
        </w:rPr>
        <w:t>ión de IL-1.</w:t>
      </w:r>
      <w:r w:rsidR="005E7E5B">
        <w:rPr>
          <w:rFonts w:ascii="Arial" w:hAnsi="Arial" w:cs="Arial"/>
          <w:sz w:val="24"/>
          <w:vertAlign w:val="superscript"/>
        </w:rPr>
        <w:t>10, 11</w:t>
      </w:r>
    </w:p>
    <w:p w:rsidR="005E7E5B" w:rsidRDefault="007B7E10" w:rsidP="007B7E10">
      <w:pPr>
        <w:rPr>
          <w:rFonts w:ascii="Arial" w:hAnsi="Arial" w:cs="Arial"/>
          <w:sz w:val="24"/>
        </w:rPr>
      </w:pPr>
      <w:r w:rsidRPr="00351B32">
        <w:rPr>
          <w:rFonts w:ascii="Arial" w:hAnsi="Arial" w:cs="Arial"/>
          <w:sz w:val="24"/>
        </w:rPr>
        <w:t>Los principales objetivos de la terapia administrada a los pac</w:t>
      </w:r>
      <w:r>
        <w:rPr>
          <w:rFonts w:ascii="Arial" w:hAnsi="Arial" w:cs="Arial"/>
          <w:sz w:val="24"/>
        </w:rPr>
        <w:t xml:space="preserve">ientes con AR son el alivio del </w:t>
      </w:r>
      <w:r w:rsidRPr="00351B32">
        <w:rPr>
          <w:rFonts w:ascii="Arial" w:hAnsi="Arial" w:cs="Arial"/>
          <w:sz w:val="24"/>
        </w:rPr>
        <w:t>dolor, la disminución de la inflamación, el mantenimiento de la</w:t>
      </w:r>
      <w:r>
        <w:rPr>
          <w:rFonts w:ascii="Arial" w:hAnsi="Arial" w:cs="Arial"/>
          <w:sz w:val="24"/>
        </w:rPr>
        <w:t xml:space="preserve"> función y la protección </w:t>
      </w:r>
      <w:r>
        <w:rPr>
          <w:rFonts w:ascii="Arial" w:hAnsi="Arial" w:cs="Arial"/>
          <w:sz w:val="24"/>
        </w:rPr>
        <w:lastRenderedPageBreak/>
        <w:t xml:space="preserve">de las </w:t>
      </w:r>
      <w:r w:rsidRPr="00351B32">
        <w:rPr>
          <w:rFonts w:ascii="Arial" w:hAnsi="Arial" w:cs="Arial"/>
          <w:sz w:val="24"/>
        </w:rPr>
        <w:t>estructuras e</w:t>
      </w:r>
      <w:r w:rsidR="007E5E8B">
        <w:rPr>
          <w:rFonts w:ascii="Arial" w:hAnsi="Arial" w:cs="Arial"/>
          <w:sz w:val="24"/>
        </w:rPr>
        <w:t>specíficas</w:t>
      </w:r>
      <w:r w:rsidRPr="00351B32">
        <w:rPr>
          <w:rFonts w:ascii="Arial" w:hAnsi="Arial" w:cs="Arial"/>
          <w:sz w:val="24"/>
        </w:rPr>
        <w:t>. Las últ</w:t>
      </w:r>
      <w:r>
        <w:rPr>
          <w:rFonts w:ascii="Arial" w:hAnsi="Arial" w:cs="Arial"/>
          <w:sz w:val="24"/>
        </w:rPr>
        <w:t xml:space="preserve">imas dos décadas han marcado un </w:t>
      </w:r>
      <w:r w:rsidRPr="00351B32">
        <w:rPr>
          <w:rFonts w:ascii="Arial" w:hAnsi="Arial" w:cs="Arial"/>
          <w:sz w:val="24"/>
        </w:rPr>
        <w:t>cambio drástico en el tra</w:t>
      </w:r>
      <w:r>
        <w:rPr>
          <w:rFonts w:ascii="Arial" w:hAnsi="Arial" w:cs="Arial"/>
          <w:sz w:val="24"/>
        </w:rPr>
        <w:t xml:space="preserve">tamiento de la AR con </w:t>
      </w:r>
      <w:r w:rsidRPr="00351B32">
        <w:rPr>
          <w:rFonts w:ascii="Arial" w:hAnsi="Arial" w:cs="Arial"/>
          <w:sz w:val="24"/>
        </w:rPr>
        <w:t>considerables mejoras en el número y la calidad de los tratam</w:t>
      </w:r>
      <w:r>
        <w:rPr>
          <w:rFonts w:ascii="Arial" w:hAnsi="Arial" w:cs="Arial"/>
          <w:sz w:val="24"/>
        </w:rPr>
        <w:t xml:space="preserve">ientos disponibles, dictados en </w:t>
      </w:r>
      <w:r w:rsidRPr="00351B32">
        <w:rPr>
          <w:rFonts w:ascii="Arial" w:hAnsi="Arial" w:cs="Arial"/>
          <w:sz w:val="24"/>
        </w:rPr>
        <w:t>gran medida por una mayor comprensión de la patogén</w:t>
      </w:r>
      <w:r>
        <w:rPr>
          <w:rFonts w:ascii="Arial" w:hAnsi="Arial" w:cs="Arial"/>
          <w:sz w:val="24"/>
        </w:rPr>
        <w:t xml:space="preserve">esis de la enfermedad. Destacar </w:t>
      </w:r>
      <w:r w:rsidRPr="00351B32">
        <w:rPr>
          <w:rFonts w:ascii="Arial" w:hAnsi="Arial" w:cs="Arial"/>
          <w:sz w:val="24"/>
        </w:rPr>
        <w:t>también los esfuerzos de la industria farmacéutica para</w:t>
      </w:r>
      <w:r>
        <w:rPr>
          <w:rFonts w:ascii="Arial" w:hAnsi="Arial" w:cs="Arial"/>
          <w:sz w:val="24"/>
        </w:rPr>
        <w:t xml:space="preserve"> identificar nuevos objetivos y </w:t>
      </w:r>
      <w:r w:rsidRPr="00351B32">
        <w:rPr>
          <w:rFonts w:ascii="Arial" w:hAnsi="Arial" w:cs="Arial"/>
          <w:sz w:val="24"/>
        </w:rPr>
        <w:t>aumentar la eficacia farmac</w:t>
      </w:r>
      <w:r>
        <w:rPr>
          <w:rFonts w:ascii="Arial" w:hAnsi="Arial" w:cs="Arial"/>
          <w:sz w:val="24"/>
        </w:rPr>
        <w:t>ológica.</w:t>
      </w:r>
      <w:r w:rsidR="005E7E5B" w:rsidRPr="005E7E5B">
        <w:rPr>
          <w:rFonts w:ascii="Arial" w:hAnsi="Arial" w:cs="Arial"/>
          <w:sz w:val="24"/>
          <w:vertAlign w:val="superscript"/>
        </w:rPr>
        <w:t>11</w:t>
      </w:r>
      <w:r w:rsidRPr="005E7E5B">
        <w:rPr>
          <w:rFonts w:ascii="Arial" w:hAnsi="Arial" w:cs="Arial"/>
          <w:sz w:val="24"/>
          <w:vertAlign w:val="superscript"/>
        </w:rPr>
        <w:t xml:space="preserve"> </w:t>
      </w:r>
    </w:p>
    <w:p w:rsidR="007B7E10" w:rsidRPr="005E7E5B" w:rsidRDefault="00B75DFC" w:rsidP="007B7E10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Glucocorticoides</w:t>
      </w:r>
    </w:p>
    <w:p w:rsidR="005E7E5B" w:rsidRPr="00B75DFC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La verdadera esperanza para la cura de la AR llegó en la década de los 50 con los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glucocorticoides (GC). Las dosis de GC durante un period</w:t>
      </w:r>
      <w:r>
        <w:rPr>
          <w:rFonts w:ascii="Arial" w:hAnsi="Arial" w:cs="Arial"/>
          <w:sz w:val="24"/>
        </w:rPr>
        <w:t xml:space="preserve">o de tiempo relativamente largo </w:t>
      </w:r>
      <w:r w:rsidRPr="00351B32">
        <w:rPr>
          <w:rFonts w:ascii="Arial" w:hAnsi="Arial" w:cs="Arial"/>
          <w:sz w:val="24"/>
        </w:rPr>
        <w:t>fueron rechazadas a principios de los 60, siendo nuevamen</w:t>
      </w:r>
      <w:r>
        <w:rPr>
          <w:rFonts w:ascii="Arial" w:hAnsi="Arial" w:cs="Arial"/>
          <w:sz w:val="24"/>
        </w:rPr>
        <w:t xml:space="preserve">te aceptados en los 80 en forma </w:t>
      </w:r>
      <w:r w:rsidRPr="00351B32">
        <w:rPr>
          <w:rFonts w:ascii="Arial" w:hAnsi="Arial" w:cs="Arial"/>
          <w:sz w:val="24"/>
        </w:rPr>
        <w:t>de dosis más bajas. No obstante, su uso sigue siendo motivo d</w:t>
      </w:r>
      <w:r w:rsidR="007A3BA1">
        <w:rPr>
          <w:rFonts w:ascii="Arial" w:hAnsi="Arial" w:cs="Arial"/>
          <w:sz w:val="24"/>
        </w:rPr>
        <w:t>e controversia</w:t>
      </w:r>
      <w:r w:rsidRPr="00351B32">
        <w:rPr>
          <w:rFonts w:ascii="Arial" w:hAnsi="Arial" w:cs="Arial"/>
          <w:sz w:val="24"/>
        </w:rPr>
        <w:t>.</w:t>
      </w:r>
      <w:r w:rsidR="005E7E5B">
        <w:rPr>
          <w:rFonts w:ascii="Arial" w:hAnsi="Arial" w:cs="Arial"/>
          <w:sz w:val="24"/>
          <w:vertAlign w:val="superscript"/>
        </w:rPr>
        <w:t xml:space="preserve">12 </w:t>
      </w:r>
      <w:r w:rsidRPr="00351B32">
        <w:rPr>
          <w:rFonts w:ascii="Arial" w:hAnsi="Arial" w:cs="Arial"/>
          <w:sz w:val="24"/>
        </w:rPr>
        <w:t>Es evidente</w:t>
      </w:r>
      <w:r w:rsidR="00B75DFC">
        <w:rPr>
          <w:rFonts w:ascii="Arial" w:hAnsi="Arial" w:cs="Arial"/>
          <w:sz w:val="24"/>
        </w:rPr>
        <w:t xml:space="preserve"> que los GC tienen efectos anti</w:t>
      </w:r>
      <w:r w:rsidRPr="00351B32">
        <w:rPr>
          <w:rFonts w:ascii="Arial" w:hAnsi="Arial" w:cs="Arial"/>
          <w:sz w:val="24"/>
        </w:rPr>
        <w:t xml:space="preserve">inflamatorios, </w:t>
      </w:r>
      <w:r w:rsidR="00B75DFC">
        <w:rPr>
          <w:rFonts w:ascii="Arial" w:hAnsi="Arial" w:cs="Arial"/>
          <w:sz w:val="24"/>
        </w:rPr>
        <w:t>lo cual</w:t>
      </w:r>
      <w:r>
        <w:rPr>
          <w:rFonts w:ascii="Arial" w:hAnsi="Arial" w:cs="Arial"/>
          <w:sz w:val="24"/>
        </w:rPr>
        <w:t xml:space="preserve"> proporciona cierto </w:t>
      </w:r>
      <w:r w:rsidRPr="00351B32">
        <w:rPr>
          <w:rFonts w:ascii="Arial" w:hAnsi="Arial" w:cs="Arial"/>
          <w:sz w:val="24"/>
        </w:rPr>
        <w:t>alivio sintomático. Por otro lado, también tiene un</w:t>
      </w:r>
      <w:r>
        <w:rPr>
          <w:rFonts w:ascii="Arial" w:hAnsi="Arial" w:cs="Arial"/>
          <w:sz w:val="24"/>
        </w:rPr>
        <w:t xml:space="preserve"> papel inmunomodulador notable, </w:t>
      </w:r>
      <w:r w:rsidRPr="00351B32">
        <w:rPr>
          <w:rFonts w:ascii="Arial" w:hAnsi="Arial" w:cs="Arial"/>
          <w:sz w:val="24"/>
        </w:rPr>
        <w:t>destacando la inhibición de la transcripción de citoqui</w:t>
      </w:r>
      <w:r w:rsidR="005E7E5B">
        <w:rPr>
          <w:rFonts w:ascii="Arial" w:hAnsi="Arial" w:cs="Arial"/>
          <w:sz w:val="24"/>
        </w:rPr>
        <w:t>nas.</w:t>
      </w:r>
      <w:r w:rsidR="00B75DFC">
        <w:rPr>
          <w:rFonts w:ascii="Arial" w:hAnsi="Arial" w:cs="Arial"/>
          <w:sz w:val="24"/>
          <w:vertAlign w:val="superscript"/>
        </w:rPr>
        <w:t>12</w:t>
      </w:r>
    </w:p>
    <w:p w:rsidR="007B7E10" w:rsidRPr="005E7E5B" w:rsidRDefault="007B7E10" w:rsidP="007B7E10">
      <w:pPr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 xml:space="preserve">También se especula que la </w:t>
      </w:r>
      <w:r w:rsidRPr="00351B32">
        <w:rPr>
          <w:rFonts w:ascii="Arial" w:hAnsi="Arial" w:cs="Arial"/>
          <w:sz w:val="24"/>
        </w:rPr>
        <w:t xml:space="preserve">terapia con GC a dosis bajas puede atrasar la progresión de </w:t>
      </w:r>
      <w:r>
        <w:rPr>
          <w:rFonts w:ascii="Arial" w:hAnsi="Arial" w:cs="Arial"/>
          <w:sz w:val="24"/>
        </w:rPr>
        <w:t>la erosión ósea</w:t>
      </w:r>
      <w:r w:rsidRPr="00351B32">
        <w:rPr>
          <w:rFonts w:ascii="Arial" w:hAnsi="Arial" w:cs="Arial"/>
          <w:sz w:val="24"/>
        </w:rPr>
        <w:t>. Además, las recomendaciones del Annual Eu</w:t>
      </w:r>
      <w:r>
        <w:rPr>
          <w:rFonts w:ascii="Arial" w:hAnsi="Arial" w:cs="Arial"/>
          <w:sz w:val="24"/>
        </w:rPr>
        <w:t xml:space="preserve">ropean Congress of Rheumatology </w:t>
      </w:r>
      <w:r w:rsidRPr="00351B32">
        <w:rPr>
          <w:rFonts w:ascii="Arial" w:hAnsi="Arial" w:cs="Arial"/>
          <w:sz w:val="24"/>
        </w:rPr>
        <w:t>(EULAR) subrayan la importancia de la administración de</w:t>
      </w:r>
      <w:r>
        <w:rPr>
          <w:rFonts w:ascii="Arial" w:hAnsi="Arial" w:cs="Arial"/>
          <w:sz w:val="24"/>
        </w:rPr>
        <w:t xml:space="preserve"> GC en las primeras horas de la </w:t>
      </w:r>
      <w:r w:rsidRPr="00351B32">
        <w:rPr>
          <w:rFonts w:ascii="Arial" w:hAnsi="Arial" w:cs="Arial"/>
          <w:sz w:val="24"/>
        </w:rPr>
        <w:t>mañana, ya que esto podría influir en su eficacia, ya que los síntomas y niveles de citoquina</w:t>
      </w:r>
      <w:r>
        <w:rPr>
          <w:rFonts w:ascii="Arial" w:hAnsi="Arial" w:cs="Arial"/>
          <w:sz w:val="24"/>
        </w:rPr>
        <w:t xml:space="preserve">s </w:t>
      </w:r>
      <w:r w:rsidR="00B75DFC">
        <w:rPr>
          <w:rFonts w:ascii="Arial" w:hAnsi="Arial" w:cs="Arial"/>
          <w:sz w:val="24"/>
        </w:rPr>
        <w:t>pro</w:t>
      </w:r>
      <w:r w:rsidRPr="00351B32">
        <w:rPr>
          <w:rFonts w:ascii="Arial" w:hAnsi="Arial" w:cs="Arial"/>
          <w:sz w:val="24"/>
        </w:rPr>
        <w:t>inflamatorias muestran un ritmo cir</w:t>
      </w:r>
      <w:r w:rsidR="00420C70">
        <w:rPr>
          <w:rFonts w:ascii="Arial" w:hAnsi="Arial" w:cs="Arial"/>
          <w:sz w:val="24"/>
        </w:rPr>
        <w:t xml:space="preserve">cadiano. </w:t>
      </w:r>
      <w:r w:rsidRPr="00351B32">
        <w:rPr>
          <w:rFonts w:ascii="Arial" w:hAnsi="Arial" w:cs="Arial"/>
          <w:sz w:val="24"/>
        </w:rPr>
        <w:t>A causa de la flexibilidad de su uso y su bajo coste,</w:t>
      </w:r>
      <w:r>
        <w:rPr>
          <w:rFonts w:ascii="Arial" w:hAnsi="Arial" w:cs="Arial"/>
          <w:sz w:val="24"/>
        </w:rPr>
        <w:t xml:space="preserve"> los GC continuarán seguramente </w:t>
      </w:r>
      <w:r w:rsidRPr="00351B32">
        <w:rPr>
          <w:rFonts w:ascii="Arial" w:hAnsi="Arial" w:cs="Arial"/>
          <w:sz w:val="24"/>
        </w:rPr>
        <w:t>desempeñando un papel importante en el tratamiento de la AR.</w:t>
      </w:r>
      <w:r w:rsidR="005E7E5B">
        <w:rPr>
          <w:rFonts w:ascii="Arial" w:hAnsi="Arial" w:cs="Arial"/>
          <w:sz w:val="24"/>
          <w:vertAlign w:val="superscript"/>
        </w:rPr>
        <w:t>12</w:t>
      </w:r>
    </w:p>
    <w:p w:rsidR="007B7E10" w:rsidRPr="005E7E5B" w:rsidRDefault="007B7E10" w:rsidP="007B7E10">
      <w:pPr>
        <w:rPr>
          <w:rFonts w:ascii="Arial" w:hAnsi="Arial" w:cs="Arial"/>
          <w:i/>
          <w:sz w:val="24"/>
        </w:rPr>
      </w:pPr>
      <w:r w:rsidRPr="005E7E5B">
        <w:rPr>
          <w:rFonts w:ascii="Arial" w:hAnsi="Arial" w:cs="Arial"/>
          <w:i/>
          <w:sz w:val="24"/>
        </w:rPr>
        <w:t>Fármacos antirreumáticos modificadores de la enfermedad (FARME)</w:t>
      </w:r>
    </w:p>
    <w:p w:rsidR="007B7E10" w:rsidRPr="005E7E5B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El tratamiento de la AR se basa en inmunosupresores espe</w:t>
      </w:r>
      <w:r w:rsidR="00B75DFC">
        <w:rPr>
          <w:rFonts w:ascii="Arial" w:hAnsi="Arial" w:cs="Arial"/>
          <w:sz w:val="24"/>
        </w:rPr>
        <w:t xml:space="preserve">cíficos, </w:t>
      </w:r>
      <w:r>
        <w:rPr>
          <w:rFonts w:ascii="Arial" w:hAnsi="Arial" w:cs="Arial"/>
          <w:sz w:val="24"/>
        </w:rPr>
        <w:t xml:space="preserve">denominados Fármacos </w:t>
      </w:r>
      <w:r w:rsidRPr="00351B32">
        <w:rPr>
          <w:rFonts w:ascii="Arial" w:hAnsi="Arial" w:cs="Arial"/>
          <w:sz w:val="24"/>
        </w:rPr>
        <w:t>Antirreumáticos Modifica</w:t>
      </w:r>
      <w:r w:rsidR="00B75DFC">
        <w:rPr>
          <w:rFonts w:ascii="Arial" w:hAnsi="Arial" w:cs="Arial"/>
          <w:sz w:val="24"/>
        </w:rPr>
        <w:t xml:space="preserve">dores de la Enfermedad (FARME, </w:t>
      </w:r>
      <w:r w:rsidRPr="00351B32">
        <w:rPr>
          <w:rFonts w:ascii="Arial" w:hAnsi="Arial" w:cs="Arial"/>
          <w:sz w:val="24"/>
        </w:rPr>
        <w:t>en inglés Disease-modifying</w:t>
      </w:r>
      <w:r>
        <w:rPr>
          <w:rFonts w:ascii="Arial" w:hAnsi="Arial" w:cs="Arial"/>
          <w:sz w:val="24"/>
        </w:rPr>
        <w:t xml:space="preserve"> </w:t>
      </w:r>
      <w:r w:rsidR="00B75DFC">
        <w:rPr>
          <w:rFonts w:ascii="Arial" w:hAnsi="Arial" w:cs="Arial"/>
          <w:sz w:val="24"/>
        </w:rPr>
        <w:t>antirheumatic drugs, DMARDs). E</w:t>
      </w:r>
      <w:r w:rsidRPr="00351B32">
        <w:rPr>
          <w:rFonts w:ascii="Arial" w:hAnsi="Arial" w:cs="Arial"/>
          <w:sz w:val="24"/>
        </w:rPr>
        <w:t xml:space="preserve">stos actúan haciendo más </w:t>
      </w:r>
      <w:r w:rsidR="00B75DFC">
        <w:rPr>
          <w:rFonts w:ascii="Arial" w:hAnsi="Arial" w:cs="Arial"/>
          <w:sz w:val="24"/>
        </w:rPr>
        <w:t>lento o incluso deteniendo</w:t>
      </w:r>
      <w:r>
        <w:rPr>
          <w:rFonts w:ascii="Arial" w:hAnsi="Arial" w:cs="Arial"/>
          <w:sz w:val="24"/>
        </w:rPr>
        <w:t xml:space="preserve"> la </w:t>
      </w:r>
      <w:r w:rsidRPr="00351B32">
        <w:rPr>
          <w:rFonts w:ascii="Arial" w:hAnsi="Arial" w:cs="Arial"/>
          <w:sz w:val="24"/>
        </w:rPr>
        <w:t>evolución de la enfermedad. Aparentemente, dichos fárm</w:t>
      </w:r>
      <w:r>
        <w:rPr>
          <w:rFonts w:ascii="Arial" w:hAnsi="Arial" w:cs="Arial"/>
          <w:sz w:val="24"/>
        </w:rPr>
        <w:t xml:space="preserve">acos modifican el sistema </w:t>
      </w:r>
      <w:r w:rsidRPr="00351B32">
        <w:rPr>
          <w:rFonts w:ascii="Arial" w:hAnsi="Arial" w:cs="Arial"/>
          <w:sz w:val="24"/>
        </w:rPr>
        <w:t>inmunológico y son utilizados principalmente para trat</w:t>
      </w:r>
      <w:r w:rsidR="007A3BA1">
        <w:rPr>
          <w:rFonts w:ascii="Arial" w:hAnsi="Arial" w:cs="Arial"/>
          <w:sz w:val="24"/>
        </w:rPr>
        <w:t>ar la AR.</w:t>
      </w:r>
      <w:r w:rsidR="005E7E5B">
        <w:rPr>
          <w:rFonts w:ascii="Arial" w:hAnsi="Arial" w:cs="Arial"/>
          <w:sz w:val="24"/>
          <w:vertAlign w:val="superscript"/>
        </w:rPr>
        <w:t>13</w:t>
      </w:r>
    </w:p>
    <w:p w:rsidR="005E7E5B" w:rsidRDefault="007B7E10" w:rsidP="007B7E10">
      <w:pPr>
        <w:rPr>
          <w:rFonts w:ascii="Arial" w:hAnsi="Arial" w:cs="Arial"/>
          <w:sz w:val="24"/>
        </w:rPr>
      </w:pPr>
      <w:r w:rsidRPr="00351B32">
        <w:rPr>
          <w:rFonts w:ascii="Arial" w:hAnsi="Arial" w:cs="Arial"/>
          <w:sz w:val="24"/>
        </w:rPr>
        <w:t xml:space="preserve">Además, tienen la capacidad de disminuir el nivel elevado </w:t>
      </w:r>
      <w:r w:rsidR="005E7E5B">
        <w:rPr>
          <w:rFonts w:ascii="Arial" w:hAnsi="Arial" w:cs="Arial"/>
          <w:sz w:val="24"/>
        </w:rPr>
        <w:t>de factor reumatoide</w:t>
      </w:r>
      <w:r w:rsidRPr="00351B32">
        <w:rPr>
          <w:rFonts w:ascii="Arial" w:hAnsi="Arial" w:cs="Arial"/>
          <w:sz w:val="24"/>
        </w:rPr>
        <w:t xml:space="preserve">. Normalmente, se comienza con un tratamiento </w:t>
      </w:r>
      <w:r>
        <w:rPr>
          <w:rFonts w:ascii="Arial" w:hAnsi="Arial" w:cs="Arial"/>
          <w:sz w:val="24"/>
        </w:rPr>
        <w:t xml:space="preserve">precoz y agresivo con FARME con </w:t>
      </w:r>
      <w:r w:rsidRPr="00351B32">
        <w:rPr>
          <w:rFonts w:ascii="Arial" w:hAnsi="Arial" w:cs="Arial"/>
          <w:sz w:val="24"/>
        </w:rPr>
        <w:t>el objetivo de retrasar la evolución de la enfermedad y prev</w:t>
      </w:r>
      <w:r>
        <w:rPr>
          <w:rFonts w:ascii="Arial" w:hAnsi="Arial" w:cs="Arial"/>
          <w:sz w:val="24"/>
        </w:rPr>
        <w:t xml:space="preserve">enir un mayor daño de las zonas </w:t>
      </w:r>
      <w:r w:rsidRPr="00351B32">
        <w:rPr>
          <w:rFonts w:ascii="Arial" w:hAnsi="Arial" w:cs="Arial"/>
          <w:sz w:val="24"/>
        </w:rPr>
        <w:lastRenderedPageBreak/>
        <w:t xml:space="preserve">afectadas, ya que la mayoría </w:t>
      </w:r>
      <w:r w:rsidR="007A3BA1" w:rsidRPr="00351B32">
        <w:rPr>
          <w:rFonts w:ascii="Arial" w:hAnsi="Arial" w:cs="Arial"/>
          <w:sz w:val="24"/>
        </w:rPr>
        <w:t>ha</w:t>
      </w:r>
      <w:r w:rsidRPr="00351B32">
        <w:rPr>
          <w:rFonts w:ascii="Arial" w:hAnsi="Arial" w:cs="Arial"/>
          <w:sz w:val="24"/>
        </w:rPr>
        <w:t xml:space="preserve"> demostrado convincentem</w:t>
      </w:r>
      <w:r>
        <w:rPr>
          <w:rFonts w:ascii="Arial" w:hAnsi="Arial" w:cs="Arial"/>
          <w:sz w:val="24"/>
        </w:rPr>
        <w:t xml:space="preserve">ente que alteran el curso de la </w:t>
      </w:r>
      <w:r w:rsidRPr="00351B32">
        <w:rPr>
          <w:rFonts w:ascii="Arial" w:hAnsi="Arial" w:cs="Arial"/>
          <w:sz w:val="24"/>
        </w:rPr>
        <w:t>destrucción de las articu</w:t>
      </w:r>
      <w:r w:rsidR="007A3BA1">
        <w:rPr>
          <w:rFonts w:ascii="Arial" w:hAnsi="Arial" w:cs="Arial"/>
          <w:sz w:val="24"/>
        </w:rPr>
        <w:t>laciones</w:t>
      </w:r>
      <w:r w:rsidRPr="00351B32">
        <w:rPr>
          <w:rFonts w:ascii="Arial" w:hAnsi="Arial" w:cs="Arial"/>
          <w:sz w:val="24"/>
        </w:rPr>
        <w:t>.</w:t>
      </w:r>
      <w:r w:rsidR="005E7E5B">
        <w:rPr>
          <w:rFonts w:ascii="Arial" w:hAnsi="Arial" w:cs="Arial"/>
          <w:sz w:val="24"/>
          <w:vertAlign w:val="superscript"/>
        </w:rPr>
        <w:t xml:space="preserve">13 </w:t>
      </w:r>
      <w:r w:rsidRPr="00351B32">
        <w:rPr>
          <w:rFonts w:ascii="Arial" w:hAnsi="Arial" w:cs="Arial"/>
          <w:sz w:val="24"/>
        </w:rPr>
        <w:t>Los agentes distintos a dichos FARME que pueden utilizarse</w:t>
      </w:r>
      <w:r>
        <w:rPr>
          <w:rFonts w:ascii="Arial" w:hAnsi="Arial" w:cs="Arial"/>
          <w:sz w:val="24"/>
        </w:rPr>
        <w:t xml:space="preserve"> para tratar la AR incluyen los </w:t>
      </w:r>
      <w:r w:rsidRPr="00351B32">
        <w:rPr>
          <w:rFonts w:ascii="Arial" w:hAnsi="Arial" w:cs="Arial"/>
          <w:sz w:val="24"/>
        </w:rPr>
        <w:t>fármacos antiinflamatorios no esteroideos (AINE) y corticoste</w:t>
      </w:r>
      <w:r w:rsidR="005E7E5B">
        <w:rPr>
          <w:rFonts w:ascii="Arial" w:hAnsi="Arial" w:cs="Arial"/>
          <w:sz w:val="24"/>
        </w:rPr>
        <w:t>roides.</w:t>
      </w:r>
    </w:p>
    <w:p w:rsidR="007B7E10" w:rsidRPr="005E7E5B" w:rsidRDefault="007B7E10" w:rsidP="007B7E10">
      <w:pPr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 xml:space="preserve">Estos pueden utilizarse </w:t>
      </w:r>
      <w:r w:rsidRPr="00351B32">
        <w:rPr>
          <w:rFonts w:ascii="Arial" w:hAnsi="Arial" w:cs="Arial"/>
          <w:sz w:val="24"/>
        </w:rPr>
        <w:t>como terapia transitoria hasta que los DMARDs proporcio</w:t>
      </w:r>
      <w:r>
        <w:rPr>
          <w:rFonts w:ascii="Arial" w:hAnsi="Arial" w:cs="Arial"/>
          <w:sz w:val="24"/>
        </w:rPr>
        <w:t xml:space="preserve">nen el alivio esperado. No </w:t>
      </w:r>
      <w:r w:rsidRPr="00351B32">
        <w:rPr>
          <w:rFonts w:ascii="Arial" w:hAnsi="Arial" w:cs="Arial"/>
          <w:sz w:val="24"/>
        </w:rPr>
        <w:t xml:space="preserve">obstante, los AINE no se consideran modificadores de </w:t>
      </w:r>
      <w:r>
        <w:rPr>
          <w:rFonts w:ascii="Arial" w:hAnsi="Arial" w:cs="Arial"/>
          <w:sz w:val="24"/>
        </w:rPr>
        <w:t xml:space="preserve">la enfermedad, de manera que no </w:t>
      </w:r>
      <w:r w:rsidRPr="00351B32">
        <w:rPr>
          <w:rFonts w:ascii="Arial" w:hAnsi="Arial" w:cs="Arial"/>
          <w:sz w:val="24"/>
        </w:rPr>
        <w:t>debe</w:t>
      </w:r>
      <w:r w:rsidR="00B75DFC">
        <w:rPr>
          <w:rFonts w:ascii="Arial" w:hAnsi="Arial" w:cs="Arial"/>
          <w:sz w:val="24"/>
        </w:rPr>
        <w:t>n utilizarse como monoterapia. E</w:t>
      </w:r>
      <w:r w:rsidRPr="00351B32">
        <w:rPr>
          <w:rFonts w:ascii="Arial" w:hAnsi="Arial" w:cs="Arial"/>
          <w:sz w:val="24"/>
        </w:rPr>
        <w:t>stos se limitan a ejercer un papel antiinflamatorio.</w:t>
      </w:r>
      <w:r w:rsidR="005E7E5B">
        <w:rPr>
          <w:rFonts w:ascii="Arial" w:hAnsi="Arial" w:cs="Arial"/>
          <w:sz w:val="24"/>
          <w:vertAlign w:val="superscript"/>
        </w:rPr>
        <w:t xml:space="preserve"> </w:t>
      </w:r>
      <w:r w:rsidRPr="00351B32">
        <w:rPr>
          <w:rFonts w:ascii="Arial" w:hAnsi="Arial" w:cs="Arial"/>
          <w:sz w:val="24"/>
        </w:rPr>
        <w:t>Los fármacos pertenecientes a la categoría DMARD más de</w:t>
      </w:r>
      <w:r>
        <w:rPr>
          <w:rFonts w:ascii="Arial" w:hAnsi="Arial" w:cs="Arial"/>
          <w:sz w:val="24"/>
        </w:rPr>
        <w:t xml:space="preserve">stacados son el Metotrexato </w:t>
      </w:r>
      <w:r w:rsidRPr="00351B32">
        <w:rPr>
          <w:rFonts w:ascii="Arial" w:hAnsi="Arial" w:cs="Arial"/>
          <w:sz w:val="24"/>
        </w:rPr>
        <w:t>(MTX) y, en meno</w:t>
      </w:r>
      <w:r w:rsidR="00B75DFC">
        <w:rPr>
          <w:rFonts w:ascii="Arial" w:hAnsi="Arial" w:cs="Arial"/>
          <w:sz w:val="24"/>
        </w:rPr>
        <w:t>r medida, la Leflunomida (LEF).</w:t>
      </w:r>
      <w:r w:rsidR="005E7E5B">
        <w:rPr>
          <w:rFonts w:ascii="Arial" w:hAnsi="Arial" w:cs="Arial"/>
          <w:sz w:val="24"/>
          <w:vertAlign w:val="superscript"/>
        </w:rPr>
        <w:t>13</w:t>
      </w:r>
    </w:p>
    <w:p w:rsidR="007B7E10" w:rsidRPr="005E7E5B" w:rsidRDefault="007B7E10" w:rsidP="007B7E10">
      <w:pPr>
        <w:rPr>
          <w:rFonts w:ascii="Arial" w:hAnsi="Arial" w:cs="Arial"/>
          <w:i/>
          <w:sz w:val="24"/>
        </w:rPr>
      </w:pPr>
      <w:r w:rsidRPr="005E7E5B">
        <w:rPr>
          <w:rFonts w:ascii="Arial" w:hAnsi="Arial" w:cs="Arial"/>
          <w:i/>
          <w:sz w:val="24"/>
        </w:rPr>
        <w:t>Terapias biológicas modificadoras de la enfermedad (FARME biológicos)</w:t>
      </w:r>
    </w:p>
    <w:p w:rsidR="007B7E10" w:rsidRPr="005E7E5B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Entre los desafíos que se abordarán en un futuro próximo</w:t>
      </w:r>
      <w:r>
        <w:rPr>
          <w:rFonts w:ascii="Arial" w:hAnsi="Arial" w:cs="Arial"/>
          <w:sz w:val="24"/>
        </w:rPr>
        <w:t xml:space="preserve"> está la posibilidad de obtener</w:t>
      </w:r>
      <w:r w:rsidRPr="00351B32">
        <w:rPr>
          <w:rFonts w:ascii="Arial" w:hAnsi="Arial" w:cs="Arial"/>
          <w:sz w:val="24"/>
        </w:rPr>
        <w:t xml:space="preserve"> mejores resultados en el control de la AR mediante la terapia de combinación. Además d</w:t>
      </w:r>
      <w:r>
        <w:rPr>
          <w:rFonts w:ascii="Arial" w:hAnsi="Arial" w:cs="Arial"/>
          <w:sz w:val="24"/>
        </w:rPr>
        <w:t xml:space="preserve">e </w:t>
      </w:r>
      <w:r w:rsidRPr="00351B32">
        <w:rPr>
          <w:rFonts w:ascii="Arial" w:hAnsi="Arial" w:cs="Arial"/>
          <w:sz w:val="24"/>
        </w:rPr>
        <w:t>los de los DMARDs convencionales, entran en juego</w:t>
      </w:r>
      <w:r>
        <w:rPr>
          <w:rFonts w:ascii="Arial" w:hAnsi="Arial" w:cs="Arial"/>
          <w:sz w:val="24"/>
        </w:rPr>
        <w:t xml:space="preserve"> los Biologic Disease-Modifying </w:t>
      </w:r>
      <w:r w:rsidRPr="00351B32">
        <w:rPr>
          <w:rFonts w:ascii="Arial" w:hAnsi="Arial" w:cs="Arial"/>
          <w:sz w:val="24"/>
        </w:rPr>
        <w:t>AntiRheumatic D</w:t>
      </w:r>
      <w:r w:rsidR="007A3BA1">
        <w:rPr>
          <w:rFonts w:ascii="Arial" w:hAnsi="Arial" w:cs="Arial"/>
          <w:sz w:val="24"/>
        </w:rPr>
        <w:t>rugs (bDMARDs)</w:t>
      </w:r>
      <w:r>
        <w:rPr>
          <w:rFonts w:ascii="Arial" w:hAnsi="Arial" w:cs="Arial"/>
          <w:sz w:val="24"/>
        </w:rPr>
        <w:t xml:space="preserve">, los cuales han mejorado </w:t>
      </w:r>
      <w:r w:rsidRPr="00351B32">
        <w:rPr>
          <w:rFonts w:ascii="Arial" w:hAnsi="Arial" w:cs="Arial"/>
          <w:sz w:val="24"/>
        </w:rPr>
        <w:t>enormemente el manejo de la enfermedad, demostrando efi</w:t>
      </w:r>
      <w:r>
        <w:rPr>
          <w:rFonts w:ascii="Arial" w:hAnsi="Arial" w:cs="Arial"/>
          <w:sz w:val="24"/>
        </w:rPr>
        <w:t xml:space="preserve">cacia respecto al alivio de los </w:t>
      </w:r>
      <w:r w:rsidRPr="00351B32">
        <w:rPr>
          <w:rFonts w:ascii="Arial" w:hAnsi="Arial" w:cs="Arial"/>
          <w:sz w:val="24"/>
        </w:rPr>
        <w:t>síntomas y la inhibición de la er</w:t>
      </w:r>
      <w:r w:rsidR="007A3BA1">
        <w:rPr>
          <w:rFonts w:ascii="Arial" w:hAnsi="Arial" w:cs="Arial"/>
          <w:sz w:val="24"/>
        </w:rPr>
        <w:t>osión ósea</w:t>
      </w:r>
      <w:r>
        <w:rPr>
          <w:rFonts w:ascii="Arial" w:hAnsi="Arial" w:cs="Arial"/>
          <w:sz w:val="24"/>
        </w:rPr>
        <w:t xml:space="preserve">. Existen </w:t>
      </w:r>
      <w:r w:rsidRPr="00351B32">
        <w:rPr>
          <w:rFonts w:ascii="Arial" w:hAnsi="Arial" w:cs="Arial"/>
          <w:sz w:val="24"/>
        </w:rPr>
        <w:t xml:space="preserve">varias clases de bDMARDs disponibles para el tratamiento de </w:t>
      </w:r>
      <w:r>
        <w:rPr>
          <w:rFonts w:ascii="Arial" w:hAnsi="Arial" w:cs="Arial"/>
          <w:sz w:val="24"/>
        </w:rPr>
        <w:t xml:space="preserve">la AR. Estos agentes biológicos </w:t>
      </w:r>
      <w:r w:rsidRPr="00351B32">
        <w:rPr>
          <w:rFonts w:ascii="Arial" w:hAnsi="Arial" w:cs="Arial"/>
          <w:sz w:val="24"/>
        </w:rPr>
        <w:t>van dirigidos a alterar vías específicas de la respuesta inflamatoria asociada a la enfermedad.</w:t>
      </w:r>
      <w:r w:rsidR="005E7E5B">
        <w:rPr>
          <w:rFonts w:ascii="Arial" w:hAnsi="Arial" w:cs="Arial"/>
          <w:sz w:val="24"/>
          <w:vertAlign w:val="superscript"/>
        </w:rPr>
        <w:t>14</w:t>
      </w:r>
    </w:p>
    <w:p w:rsidR="007B7E10" w:rsidRPr="000E7818" w:rsidRDefault="007B7E10" w:rsidP="007B7E10">
      <w:pPr>
        <w:rPr>
          <w:rFonts w:ascii="Arial" w:hAnsi="Arial" w:cs="Arial"/>
          <w:sz w:val="24"/>
        </w:rPr>
      </w:pPr>
      <w:r w:rsidRPr="00351B32">
        <w:rPr>
          <w:rFonts w:ascii="Arial" w:hAnsi="Arial" w:cs="Arial"/>
          <w:sz w:val="24"/>
        </w:rPr>
        <w:t xml:space="preserve">Concretamente, </w:t>
      </w:r>
      <w:r w:rsidR="000E7818">
        <w:rPr>
          <w:rFonts w:ascii="Arial" w:hAnsi="Arial" w:cs="Arial"/>
          <w:sz w:val="24"/>
        </w:rPr>
        <w:t xml:space="preserve">se proyectan hacia </w:t>
      </w:r>
      <w:r w:rsidRPr="00351B32">
        <w:rPr>
          <w:rFonts w:ascii="Arial" w:hAnsi="Arial" w:cs="Arial"/>
          <w:sz w:val="24"/>
        </w:rPr>
        <w:t>la inhibición de citoquinas pr</w:t>
      </w:r>
      <w:r w:rsidR="000E7818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inflamatorias, como el Factor </w:t>
      </w:r>
      <w:r w:rsidRPr="00351B32">
        <w:rPr>
          <w:rFonts w:ascii="Arial" w:hAnsi="Arial" w:cs="Arial"/>
          <w:sz w:val="24"/>
        </w:rPr>
        <w:t>de Necrosis Tumoral (TNF) o varias interleucinas (IL) involu</w:t>
      </w:r>
      <w:r>
        <w:rPr>
          <w:rFonts w:ascii="Arial" w:hAnsi="Arial" w:cs="Arial"/>
          <w:sz w:val="24"/>
        </w:rPr>
        <w:t xml:space="preserve">cradas, entre otros mecanismos. </w:t>
      </w:r>
      <w:r w:rsidRPr="00351B32">
        <w:rPr>
          <w:rFonts w:ascii="Arial" w:hAnsi="Arial" w:cs="Arial"/>
          <w:sz w:val="24"/>
        </w:rPr>
        <w:t>La incorporación de terapias con agentes biológicos ha hech</w:t>
      </w:r>
      <w:r>
        <w:rPr>
          <w:rFonts w:ascii="Arial" w:hAnsi="Arial" w:cs="Arial"/>
          <w:sz w:val="24"/>
        </w:rPr>
        <w:t xml:space="preserve">o posible detener la progresión </w:t>
      </w:r>
      <w:r w:rsidRPr="00351B32">
        <w:rPr>
          <w:rFonts w:ascii="Arial" w:hAnsi="Arial" w:cs="Arial"/>
          <w:sz w:val="24"/>
        </w:rPr>
        <w:t>de la enfermedad. Sin embargo, el MTX sigue siendo la princip</w:t>
      </w:r>
      <w:r>
        <w:rPr>
          <w:rFonts w:ascii="Arial" w:hAnsi="Arial" w:cs="Arial"/>
          <w:sz w:val="24"/>
        </w:rPr>
        <w:t>al terapia de inicio y la clave</w:t>
      </w:r>
      <w:r w:rsidR="007A3BA1"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para el tratamiento de la AR. De manera que los bDMARDs deben administrarse en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comb</w:t>
      </w:r>
      <w:r w:rsidR="000E7818">
        <w:rPr>
          <w:rFonts w:ascii="Arial" w:hAnsi="Arial" w:cs="Arial"/>
          <w:sz w:val="24"/>
        </w:rPr>
        <w:t xml:space="preserve">inación con el agente principal, </w:t>
      </w:r>
      <w:r w:rsidRPr="00351B32">
        <w:rPr>
          <w:rFonts w:ascii="Arial" w:hAnsi="Arial" w:cs="Arial"/>
          <w:sz w:val="24"/>
        </w:rPr>
        <w:t>en caso de responder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adecuadame</w:t>
      </w:r>
      <w:r w:rsidR="007A3BA1">
        <w:rPr>
          <w:rFonts w:ascii="Arial" w:hAnsi="Arial" w:cs="Arial"/>
          <w:sz w:val="24"/>
        </w:rPr>
        <w:t>nte a él</w:t>
      </w:r>
      <w:r>
        <w:rPr>
          <w:rFonts w:ascii="Arial" w:hAnsi="Arial" w:cs="Arial"/>
          <w:sz w:val="24"/>
        </w:rPr>
        <w:t>.</w:t>
      </w:r>
      <w:r w:rsidR="005E7E5B">
        <w:rPr>
          <w:rFonts w:ascii="Arial" w:hAnsi="Arial" w:cs="Arial"/>
          <w:sz w:val="24"/>
          <w:vertAlign w:val="superscript"/>
        </w:rPr>
        <w:t>14, 15</w:t>
      </w:r>
    </w:p>
    <w:p w:rsidR="007B7E10" w:rsidRPr="005E7E5B" w:rsidRDefault="000E7818" w:rsidP="007B7E10">
      <w:pPr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>A diferencia de los DMARDs (de síntesis química)</w:t>
      </w:r>
      <w:r w:rsidR="007B7E10" w:rsidRPr="00351B32">
        <w:rPr>
          <w:rFonts w:ascii="Arial" w:hAnsi="Arial" w:cs="Arial"/>
          <w:sz w:val="24"/>
        </w:rPr>
        <w:t>, los bDM</w:t>
      </w:r>
      <w:r w:rsidR="007B7E10">
        <w:rPr>
          <w:rFonts w:ascii="Arial" w:hAnsi="Arial" w:cs="Arial"/>
          <w:sz w:val="24"/>
        </w:rPr>
        <w:t xml:space="preserve">ARDs son productos elaborados a </w:t>
      </w:r>
      <w:r w:rsidR="007B7E10" w:rsidRPr="00351B32">
        <w:rPr>
          <w:rFonts w:ascii="Arial" w:hAnsi="Arial" w:cs="Arial"/>
          <w:sz w:val="24"/>
        </w:rPr>
        <w:t>partir de células cultivadas en bancos celulares, aminoácidos, hidratos de carbono, y</w:t>
      </w:r>
      <w:r w:rsidR="007B7E10">
        <w:rPr>
          <w:rFonts w:ascii="Arial" w:hAnsi="Arial" w:cs="Arial"/>
          <w:sz w:val="24"/>
        </w:rPr>
        <w:t xml:space="preserve"> otras </w:t>
      </w:r>
      <w:r w:rsidR="007B7E10" w:rsidRPr="00351B32">
        <w:rPr>
          <w:rFonts w:ascii="Arial" w:hAnsi="Arial" w:cs="Arial"/>
          <w:sz w:val="24"/>
        </w:rPr>
        <w:t>sustancias de bajo peso molecular que actúan específi</w:t>
      </w:r>
      <w:r w:rsidR="007B7E10">
        <w:rPr>
          <w:rFonts w:ascii="Arial" w:hAnsi="Arial" w:cs="Arial"/>
          <w:sz w:val="24"/>
        </w:rPr>
        <w:t xml:space="preserve">camente contra vías específicas </w:t>
      </w:r>
      <w:r w:rsidR="007B7E10" w:rsidRPr="00351B32">
        <w:rPr>
          <w:rFonts w:ascii="Arial" w:hAnsi="Arial" w:cs="Arial"/>
          <w:sz w:val="24"/>
        </w:rPr>
        <w:t xml:space="preserve">importantes en el proceso </w:t>
      </w:r>
      <w:r w:rsidR="005E7E5B">
        <w:rPr>
          <w:rFonts w:ascii="Arial" w:hAnsi="Arial" w:cs="Arial"/>
          <w:sz w:val="24"/>
        </w:rPr>
        <w:t>de patogénesis de la enfermedad.</w:t>
      </w:r>
      <w:r w:rsidR="005E7E5B">
        <w:rPr>
          <w:rFonts w:ascii="Arial" w:hAnsi="Arial" w:cs="Arial"/>
          <w:sz w:val="24"/>
          <w:vertAlign w:val="superscript"/>
        </w:rPr>
        <w:t>16</w:t>
      </w:r>
    </w:p>
    <w:p w:rsidR="007B7E10" w:rsidRPr="005E7E5B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lastRenderedPageBreak/>
        <w:t>Los inhibidores de TNF (anti-TNF) fueron los primeros bDMARDs aprobados, pero a día</w:t>
      </w:r>
      <w:r>
        <w:rPr>
          <w:rFonts w:ascii="Arial" w:hAnsi="Arial" w:cs="Arial"/>
          <w:sz w:val="24"/>
        </w:rPr>
        <w:t xml:space="preserve"> de </w:t>
      </w:r>
      <w:r w:rsidRPr="00351B32">
        <w:rPr>
          <w:rFonts w:ascii="Arial" w:hAnsi="Arial" w:cs="Arial"/>
          <w:sz w:val="24"/>
        </w:rPr>
        <w:t>hoy destacan otros que actúan como inhibidores de la activ</w:t>
      </w:r>
      <w:r>
        <w:rPr>
          <w:rFonts w:ascii="Arial" w:hAnsi="Arial" w:cs="Arial"/>
          <w:sz w:val="24"/>
        </w:rPr>
        <w:t xml:space="preserve">ación de células T (Abatacept), </w:t>
      </w:r>
      <w:r w:rsidRPr="00351B32">
        <w:rPr>
          <w:rFonts w:ascii="Arial" w:hAnsi="Arial" w:cs="Arial"/>
          <w:sz w:val="24"/>
        </w:rPr>
        <w:t>destructores de células B (Rituximab) e inhibidores de int</w:t>
      </w:r>
      <w:r>
        <w:rPr>
          <w:rFonts w:ascii="Arial" w:hAnsi="Arial" w:cs="Arial"/>
          <w:sz w:val="24"/>
        </w:rPr>
        <w:t xml:space="preserve">erleucinas como la IL-1 e IL-17 </w:t>
      </w:r>
      <w:r w:rsidRPr="00351B32">
        <w:rPr>
          <w:rFonts w:ascii="Arial" w:hAnsi="Arial" w:cs="Arial"/>
          <w:sz w:val="24"/>
        </w:rPr>
        <w:t>(Anak</w:t>
      </w:r>
      <w:r w:rsidR="007A3BA1">
        <w:rPr>
          <w:rFonts w:ascii="Arial" w:hAnsi="Arial" w:cs="Arial"/>
          <w:sz w:val="24"/>
        </w:rPr>
        <w:t>inra, Secukinunab, Brodalumab).</w:t>
      </w:r>
      <w:r w:rsidR="005E7E5B">
        <w:rPr>
          <w:rFonts w:ascii="Arial" w:hAnsi="Arial" w:cs="Arial"/>
          <w:sz w:val="24"/>
          <w:vertAlign w:val="superscript"/>
        </w:rPr>
        <w:t>16</w:t>
      </w:r>
    </w:p>
    <w:p w:rsidR="007B7E10" w:rsidRPr="005E7E5B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El conocimiento de los antecedentes genéticos puede ser clave p</w:t>
      </w:r>
      <w:r>
        <w:rPr>
          <w:rFonts w:ascii="Arial" w:hAnsi="Arial" w:cs="Arial"/>
          <w:sz w:val="24"/>
        </w:rPr>
        <w:t xml:space="preserve">ara el desarrollo de agentes </w:t>
      </w:r>
      <w:r w:rsidRPr="00351B32">
        <w:rPr>
          <w:rFonts w:ascii="Arial" w:hAnsi="Arial" w:cs="Arial"/>
          <w:sz w:val="24"/>
        </w:rPr>
        <w:t xml:space="preserve">terapéuticos para la AR. Debido a que las citoquinas juegan un papel fundamental en </w:t>
      </w:r>
      <w:r w:rsidR="007A3BA1" w:rsidRPr="00351B32">
        <w:rPr>
          <w:rFonts w:ascii="Arial" w:hAnsi="Arial" w:cs="Arial"/>
          <w:sz w:val="24"/>
        </w:rPr>
        <w:t>la enfermedad</w:t>
      </w:r>
      <w:r w:rsidRPr="00351B32">
        <w:rPr>
          <w:rFonts w:ascii="Arial" w:hAnsi="Arial" w:cs="Arial"/>
          <w:sz w:val="24"/>
        </w:rPr>
        <w:t>, es esencial desarrollar las terapias dirigidas a ellas. Sería muy beneficioso que</w:t>
      </w:r>
      <w:r>
        <w:rPr>
          <w:rFonts w:ascii="Arial" w:hAnsi="Arial" w:cs="Arial"/>
          <w:sz w:val="24"/>
        </w:rPr>
        <w:t xml:space="preserve"> </w:t>
      </w:r>
      <w:r w:rsidRPr="00351B32">
        <w:rPr>
          <w:rFonts w:ascii="Arial" w:hAnsi="Arial" w:cs="Arial"/>
          <w:sz w:val="24"/>
        </w:rPr>
        <w:t>est</w:t>
      </w:r>
      <w:r w:rsidR="000E7818">
        <w:rPr>
          <w:rFonts w:ascii="Arial" w:hAnsi="Arial" w:cs="Arial"/>
          <w:sz w:val="24"/>
        </w:rPr>
        <w:t>as terapias anti</w:t>
      </w:r>
      <w:r w:rsidRPr="00351B32">
        <w:rPr>
          <w:rFonts w:ascii="Arial" w:hAnsi="Arial" w:cs="Arial"/>
          <w:sz w:val="24"/>
        </w:rPr>
        <w:t>citoquinas apuntaran a múltiples vías impli</w:t>
      </w:r>
      <w:r>
        <w:rPr>
          <w:rFonts w:ascii="Arial" w:hAnsi="Arial" w:cs="Arial"/>
          <w:sz w:val="24"/>
        </w:rPr>
        <w:t xml:space="preserve">cadas en la patogenia, en lugar </w:t>
      </w:r>
      <w:r w:rsidRPr="00351B32">
        <w:rPr>
          <w:rFonts w:ascii="Arial" w:hAnsi="Arial" w:cs="Arial"/>
          <w:sz w:val="24"/>
        </w:rPr>
        <w:t>de dirigirse a una sola vía inf</w:t>
      </w:r>
      <w:r w:rsidR="005E7E5B">
        <w:rPr>
          <w:rFonts w:ascii="Arial" w:hAnsi="Arial" w:cs="Arial"/>
          <w:sz w:val="24"/>
        </w:rPr>
        <w:t>lamatoria.</w:t>
      </w:r>
      <w:r w:rsidR="005E7E5B">
        <w:rPr>
          <w:rFonts w:ascii="Arial" w:hAnsi="Arial" w:cs="Arial"/>
          <w:sz w:val="24"/>
          <w:vertAlign w:val="superscript"/>
        </w:rPr>
        <w:t>17</w:t>
      </w:r>
    </w:p>
    <w:p w:rsidR="007B7E10" w:rsidRPr="005E7E5B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Por otro lado, en la última década, los avances en farmac</w:t>
      </w:r>
      <w:r>
        <w:rPr>
          <w:rFonts w:ascii="Arial" w:hAnsi="Arial" w:cs="Arial"/>
          <w:sz w:val="24"/>
        </w:rPr>
        <w:t xml:space="preserve">ogenética y farmacogenómica han </w:t>
      </w:r>
      <w:r w:rsidRPr="00351B32">
        <w:rPr>
          <w:rFonts w:ascii="Arial" w:hAnsi="Arial" w:cs="Arial"/>
          <w:sz w:val="24"/>
        </w:rPr>
        <w:t>desvelado la base genética de la enfermedad, basándose en d</w:t>
      </w:r>
      <w:r>
        <w:rPr>
          <w:rFonts w:ascii="Arial" w:hAnsi="Arial" w:cs="Arial"/>
          <w:sz w:val="24"/>
        </w:rPr>
        <w:t xml:space="preserve">iferencias interindividuales en </w:t>
      </w:r>
      <w:r w:rsidRPr="00351B32">
        <w:rPr>
          <w:rFonts w:ascii="Arial" w:hAnsi="Arial" w:cs="Arial"/>
          <w:sz w:val="24"/>
        </w:rPr>
        <w:t>las respuestas a los fá</w:t>
      </w:r>
      <w:r w:rsidR="007A3BA1">
        <w:rPr>
          <w:rFonts w:ascii="Arial" w:hAnsi="Arial" w:cs="Arial"/>
          <w:sz w:val="24"/>
        </w:rPr>
        <w:t>rmacos</w:t>
      </w:r>
      <w:r w:rsidRPr="00351B32">
        <w:rPr>
          <w:rFonts w:ascii="Arial" w:hAnsi="Arial" w:cs="Arial"/>
          <w:sz w:val="24"/>
        </w:rPr>
        <w:t>. Consi</w:t>
      </w:r>
      <w:r>
        <w:rPr>
          <w:rFonts w:ascii="Arial" w:hAnsi="Arial" w:cs="Arial"/>
          <w:sz w:val="24"/>
        </w:rPr>
        <w:t xml:space="preserve">derando que los genes codifican </w:t>
      </w:r>
      <w:r w:rsidRPr="00351B32">
        <w:rPr>
          <w:rFonts w:ascii="Arial" w:hAnsi="Arial" w:cs="Arial"/>
          <w:sz w:val="24"/>
        </w:rPr>
        <w:t>proteínas dirigidas a fármacos o enzimas que regulan el me</w:t>
      </w:r>
      <w:r>
        <w:rPr>
          <w:rFonts w:ascii="Arial" w:hAnsi="Arial" w:cs="Arial"/>
          <w:sz w:val="24"/>
        </w:rPr>
        <w:t xml:space="preserve">tabolismo de los mismos, el uso </w:t>
      </w:r>
      <w:r w:rsidRPr="00351B32">
        <w:rPr>
          <w:rFonts w:ascii="Arial" w:hAnsi="Arial" w:cs="Arial"/>
          <w:sz w:val="24"/>
        </w:rPr>
        <w:t>de predicciones farmacogenómicas en combinación co</w:t>
      </w:r>
      <w:r>
        <w:rPr>
          <w:rFonts w:ascii="Arial" w:hAnsi="Arial" w:cs="Arial"/>
          <w:sz w:val="24"/>
        </w:rPr>
        <w:t xml:space="preserve">n el desarrollo y mejora de las </w:t>
      </w:r>
      <w:r w:rsidRPr="00351B32">
        <w:rPr>
          <w:rFonts w:ascii="Arial" w:hAnsi="Arial" w:cs="Arial"/>
          <w:sz w:val="24"/>
        </w:rPr>
        <w:t>pruebas genéticas, permitiría la estratificación de p</w:t>
      </w:r>
      <w:r>
        <w:rPr>
          <w:rFonts w:ascii="Arial" w:hAnsi="Arial" w:cs="Arial"/>
          <w:sz w:val="24"/>
        </w:rPr>
        <w:t xml:space="preserve">acientes en subgrupos genéticos </w:t>
      </w:r>
      <w:r w:rsidRPr="00351B32">
        <w:rPr>
          <w:rFonts w:ascii="Arial" w:hAnsi="Arial" w:cs="Arial"/>
          <w:sz w:val="24"/>
        </w:rPr>
        <w:t xml:space="preserve">permitiendo la prescripción de fármacos solo para aquellos </w:t>
      </w:r>
      <w:r>
        <w:rPr>
          <w:rFonts w:ascii="Arial" w:hAnsi="Arial" w:cs="Arial"/>
          <w:sz w:val="24"/>
        </w:rPr>
        <w:t xml:space="preserve">sujetos que se </w:t>
      </w:r>
      <w:r w:rsidR="004D2DA8">
        <w:rPr>
          <w:rFonts w:ascii="Arial" w:hAnsi="Arial" w:cs="Arial"/>
          <w:sz w:val="24"/>
        </w:rPr>
        <w:t>prevé</w:t>
      </w:r>
      <w:r>
        <w:rPr>
          <w:rFonts w:ascii="Arial" w:hAnsi="Arial" w:cs="Arial"/>
          <w:sz w:val="24"/>
        </w:rPr>
        <w:t xml:space="preserve"> que tengan </w:t>
      </w:r>
      <w:r w:rsidRPr="00351B32">
        <w:rPr>
          <w:rFonts w:ascii="Arial" w:hAnsi="Arial" w:cs="Arial"/>
          <w:sz w:val="24"/>
        </w:rPr>
        <w:t>la respuesta deseada, sin toxicidad indeseada o efectos secundarios.</w:t>
      </w:r>
      <w:r w:rsidR="005E7E5B">
        <w:rPr>
          <w:rFonts w:ascii="Arial" w:hAnsi="Arial" w:cs="Arial"/>
          <w:sz w:val="24"/>
          <w:vertAlign w:val="superscript"/>
        </w:rPr>
        <w:t>17, 18</w:t>
      </w:r>
    </w:p>
    <w:p w:rsidR="007B7E10" w:rsidRPr="005E7E5B" w:rsidRDefault="007B7E10" w:rsidP="007B7E10">
      <w:pPr>
        <w:rPr>
          <w:rFonts w:ascii="Arial" w:hAnsi="Arial" w:cs="Arial"/>
          <w:sz w:val="24"/>
          <w:vertAlign w:val="superscript"/>
        </w:rPr>
      </w:pPr>
      <w:r w:rsidRPr="00351B32">
        <w:rPr>
          <w:rFonts w:ascii="Arial" w:hAnsi="Arial" w:cs="Arial"/>
          <w:sz w:val="24"/>
        </w:rPr>
        <w:t>Concretamente, estas vertientes de estudio se han utilizado</w:t>
      </w:r>
      <w:r>
        <w:rPr>
          <w:rFonts w:ascii="Arial" w:hAnsi="Arial" w:cs="Arial"/>
          <w:sz w:val="24"/>
        </w:rPr>
        <w:t xml:space="preserve"> para identificar polimorfismos </w:t>
      </w:r>
      <w:r w:rsidRPr="00351B32">
        <w:rPr>
          <w:rFonts w:ascii="Arial" w:hAnsi="Arial" w:cs="Arial"/>
          <w:sz w:val="24"/>
        </w:rPr>
        <w:t>de un solo nucleótido (SNPs), que puedan estar asociado</w:t>
      </w:r>
      <w:r>
        <w:rPr>
          <w:rFonts w:ascii="Arial" w:hAnsi="Arial" w:cs="Arial"/>
          <w:sz w:val="24"/>
        </w:rPr>
        <w:t xml:space="preserve">s a la respuesta que el enfermo </w:t>
      </w:r>
      <w:r w:rsidRPr="00351B32">
        <w:rPr>
          <w:rFonts w:ascii="Arial" w:hAnsi="Arial" w:cs="Arial"/>
          <w:sz w:val="24"/>
        </w:rPr>
        <w:t>tiene frente a los DMARDs y bDMARDs.</w:t>
      </w:r>
      <w:r w:rsidR="005E7E5B">
        <w:rPr>
          <w:rFonts w:ascii="Arial" w:hAnsi="Arial" w:cs="Arial"/>
          <w:sz w:val="24"/>
          <w:vertAlign w:val="superscript"/>
        </w:rPr>
        <w:t>18</w:t>
      </w:r>
      <w:r w:rsidRPr="00351B32">
        <w:rPr>
          <w:rFonts w:ascii="Arial" w:hAnsi="Arial" w:cs="Arial"/>
          <w:sz w:val="24"/>
        </w:rPr>
        <w:t xml:space="preserve"> Estos marcadores gen</w:t>
      </w:r>
      <w:r>
        <w:rPr>
          <w:rFonts w:ascii="Arial" w:hAnsi="Arial" w:cs="Arial"/>
          <w:sz w:val="24"/>
        </w:rPr>
        <w:t xml:space="preserve">éticos podrían ser útiles en el </w:t>
      </w:r>
      <w:r w:rsidRPr="00351B32">
        <w:rPr>
          <w:rFonts w:ascii="Arial" w:hAnsi="Arial" w:cs="Arial"/>
          <w:sz w:val="24"/>
        </w:rPr>
        <w:t>futuro para prever la reacción del paciente frente a</w:t>
      </w:r>
      <w:r>
        <w:rPr>
          <w:rFonts w:ascii="Arial" w:hAnsi="Arial" w:cs="Arial"/>
          <w:sz w:val="24"/>
        </w:rPr>
        <w:t xml:space="preserve"> un determinado fármaco. Dichos </w:t>
      </w:r>
      <w:r w:rsidRPr="00351B32">
        <w:rPr>
          <w:rFonts w:ascii="Arial" w:hAnsi="Arial" w:cs="Arial"/>
          <w:sz w:val="24"/>
        </w:rPr>
        <w:t xml:space="preserve">estudios han descubierto genes que están implicados en </w:t>
      </w:r>
      <w:r>
        <w:rPr>
          <w:rFonts w:ascii="Arial" w:hAnsi="Arial" w:cs="Arial"/>
          <w:sz w:val="24"/>
        </w:rPr>
        <w:t xml:space="preserve">varias vías de señalización que </w:t>
      </w:r>
      <w:r w:rsidRPr="00351B32">
        <w:rPr>
          <w:rFonts w:ascii="Arial" w:hAnsi="Arial" w:cs="Arial"/>
          <w:sz w:val="24"/>
        </w:rPr>
        <w:t>regulan los principales procesos inflamatorios y podrían llega</w:t>
      </w:r>
      <w:r>
        <w:rPr>
          <w:rFonts w:ascii="Arial" w:hAnsi="Arial" w:cs="Arial"/>
          <w:sz w:val="24"/>
        </w:rPr>
        <w:t xml:space="preserve">r a averiguar, por ejemplo, por </w:t>
      </w:r>
      <w:r w:rsidRPr="00351B32">
        <w:rPr>
          <w:rFonts w:ascii="Arial" w:hAnsi="Arial" w:cs="Arial"/>
          <w:sz w:val="24"/>
        </w:rPr>
        <w:t>qué los tratamientos anti-TNF han demostrado un gran</w:t>
      </w:r>
      <w:r>
        <w:rPr>
          <w:rFonts w:ascii="Arial" w:hAnsi="Arial" w:cs="Arial"/>
          <w:sz w:val="24"/>
        </w:rPr>
        <w:t xml:space="preserve"> éxito en solo un 50-60% de los </w:t>
      </w:r>
      <w:r w:rsidRPr="00351B32">
        <w:rPr>
          <w:rFonts w:ascii="Arial" w:hAnsi="Arial" w:cs="Arial"/>
          <w:sz w:val="24"/>
        </w:rPr>
        <w:t>pacientes con AR u otros interrogantes acerca de la enfe</w:t>
      </w:r>
      <w:r w:rsidR="007A3BA1">
        <w:rPr>
          <w:rFonts w:ascii="Arial" w:hAnsi="Arial" w:cs="Arial"/>
          <w:sz w:val="24"/>
        </w:rPr>
        <w:t>rmedad</w:t>
      </w:r>
      <w:r w:rsidRPr="00351B32">
        <w:rPr>
          <w:rFonts w:ascii="Arial" w:hAnsi="Arial" w:cs="Arial"/>
          <w:sz w:val="24"/>
        </w:rPr>
        <w:t>.</w:t>
      </w:r>
      <w:r w:rsidR="005E7E5B">
        <w:rPr>
          <w:rFonts w:ascii="Arial" w:hAnsi="Arial" w:cs="Arial"/>
          <w:sz w:val="24"/>
          <w:vertAlign w:val="superscript"/>
        </w:rPr>
        <w:t>18</w:t>
      </w:r>
    </w:p>
    <w:p w:rsidR="004D2DA8" w:rsidRDefault="004D2DA8" w:rsidP="00E33581">
      <w:pPr>
        <w:rPr>
          <w:rFonts w:ascii="Arial" w:hAnsi="Arial" w:cs="Arial"/>
          <w:sz w:val="24"/>
        </w:rPr>
      </w:pPr>
    </w:p>
    <w:p w:rsidR="004D2DA8" w:rsidRDefault="004D2DA8" w:rsidP="00E33581">
      <w:pPr>
        <w:rPr>
          <w:rFonts w:ascii="Arial" w:hAnsi="Arial" w:cs="Arial"/>
          <w:sz w:val="24"/>
        </w:rPr>
      </w:pPr>
    </w:p>
    <w:p w:rsidR="004D2DA8" w:rsidRDefault="004D2DA8" w:rsidP="00E33581">
      <w:pPr>
        <w:rPr>
          <w:rFonts w:ascii="Arial" w:hAnsi="Arial" w:cs="Arial"/>
          <w:sz w:val="24"/>
        </w:rPr>
      </w:pPr>
    </w:p>
    <w:p w:rsidR="004D2DA8" w:rsidRDefault="004D2DA8" w:rsidP="00E33581">
      <w:pPr>
        <w:rPr>
          <w:rFonts w:ascii="Arial" w:hAnsi="Arial" w:cs="Arial"/>
          <w:sz w:val="24"/>
        </w:rPr>
      </w:pPr>
    </w:p>
    <w:p w:rsidR="007B7E10" w:rsidRDefault="007B7E10" w:rsidP="00E33581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lastRenderedPageBreak/>
        <w:t>Conclusiones</w:t>
      </w:r>
    </w:p>
    <w:p w:rsidR="005E7E5B" w:rsidRPr="00595090" w:rsidRDefault="005E7E5B" w:rsidP="005E7E5B">
      <w:pPr>
        <w:rPr>
          <w:rFonts w:ascii="Arial" w:hAnsi="Arial" w:cs="Arial"/>
          <w:sz w:val="24"/>
          <w:szCs w:val="24"/>
        </w:rPr>
      </w:pPr>
      <w:r w:rsidRPr="00595090">
        <w:rPr>
          <w:rFonts w:ascii="Arial" w:hAnsi="Arial" w:cs="Arial"/>
          <w:sz w:val="24"/>
          <w:szCs w:val="24"/>
        </w:rPr>
        <w:t>El</w:t>
      </w:r>
      <w:r w:rsidRPr="00595090">
        <w:rPr>
          <w:rFonts w:ascii="Arial" w:hAnsi="Arial" w:cs="Arial"/>
          <w:sz w:val="24"/>
          <w:szCs w:val="24"/>
        </w:rPr>
        <w:t xml:space="preserve"> tratamiento de</w:t>
      </w:r>
      <w:r>
        <w:rPr>
          <w:rFonts w:ascii="Arial" w:hAnsi="Arial" w:cs="Arial"/>
          <w:sz w:val="24"/>
          <w:szCs w:val="24"/>
        </w:rPr>
        <w:t xml:space="preserve"> </w:t>
      </w:r>
      <w:r w:rsidRPr="0059509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595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artritis reumatoide debe ir dirigido a su posible casuística siendo un baluarte los nuevos conocimientos sobre genética y biología molecular </w:t>
      </w:r>
      <w:r w:rsidRPr="00595090">
        <w:rPr>
          <w:rFonts w:ascii="Arial" w:hAnsi="Arial" w:cs="Arial"/>
          <w:sz w:val="24"/>
          <w:szCs w:val="24"/>
        </w:rPr>
        <w:t xml:space="preserve">a fin de </w:t>
      </w:r>
      <w:r w:rsidR="004D2DA8">
        <w:rPr>
          <w:rFonts w:ascii="Arial" w:hAnsi="Arial" w:cs="Arial"/>
          <w:sz w:val="24"/>
          <w:szCs w:val="24"/>
        </w:rPr>
        <w:t xml:space="preserve">realizar un mejor manejo terapéutico, así como </w:t>
      </w:r>
      <w:r w:rsidRPr="00595090">
        <w:rPr>
          <w:rFonts w:ascii="Arial" w:hAnsi="Arial" w:cs="Arial"/>
          <w:sz w:val="24"/>
          <w:szCs w:val="24"/>
        </w:rPr>
        <w:t>evitar posibles complicaciones en la evolución de los pacientes.</w:t>
      </w:r>
    </w:p>
    <w:p w:rsidR="00785A20" w:rsidRDefault="00785A20" w:rsidP="00E335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Referencias bibliográficas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Boissier, M. C., Semerano, L., Challal, S., Saidenberg-Kermanac'h, N., Falgarone, G., 2012.</w:t>
      </w:r>
      <w:r w:rsidR="000211BA" w:rsidRP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Rheumatoid arthritis: from autoimmunity to synovitis and joint destruction. Journal of autoimmunity,</w:t>
      </w:r>
      <w:r w:rsid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39(3), 222-228.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Brown, P. M., Pratt, A. G., Isaacs, J. D., 2016. Mechanism of action of methotrexate in rheumatoid</w:t>
      </w:r>
      <w:r w:rsidR="000211BA" w:rsidRP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arthritis, and the search for biomarkers. Nature Reviews Rheumatology, 12(12), 731-742.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Byng-Maddick, R., Ehrenstein, M. R., 2015. The impact of biological therapy on regulatory T cells in</w:t>
      </w:r>
      <w:r w:rsidR="0038477B" w:rsidRP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rheumatoid arthritis. Rheumatology, 54(5), 768-775.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Delgado-Vega, A. M., Martín, J., Granados, J., Anaya, J. M., 2006. Epidemiología genética de la</w:t>
      </w:r>
      <w:r w:rsidR="0038477B" w:rsidRP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artritis reumatoide: ¿Qué esperar de América Latina</w:t>
      </w:r>
      <w:r w:rsidR="00EE6293" w:rsidRPr="000211BA">
        <w:rPr>
          <w:rFonts w:ascii="Arial" w:hAnsi="Arial" w:cs="Arial"/>
          <w:sz w:val="24"/>
        </w:rPr>
        <w:t>?</w:t>
      </w:r>
      <w:r w:rsidRPr="000211BA">
        <w:rPr>
          <w:rFonts w:ascii="Arial" w:hAnsi="Arial" w:cs="Arial"/>
          <w:sz w:val="24"/>
        </w:rPr>
        <w:t xml:space="preserve"> Biomédica, 26(4), 562-84.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Demoruelle, M. K., Deane, K. D., Holers, V. M., 2014. When and where does inflammation begin in</w:t>
      </w:r>
      <w:r w:rsidR="0038477B" w:rsidRP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rheumatoid arthritis</w:t>
      </w:r>
      <w:r w:rsidR="00EE6293" w:rsidRPr="000211BA">
        <w:rPr>
          <w:rFonts w:ascii="Arial" w:hAnsi="Arial" w:cs="Arial"/>
          <w:sz w:val="24"/>
        </w:rPr>
        <w:t>?</w:t>
      </w:r>
      <w:r w:rsidRPr="000211BA">
        <w:rPr>
          <w:rFonts w:ascii="Arial" w:hAnsi="Arial" w:cs="Arial"/>
          <w:sz w:val="24"/>
        </w:rPr>
        <w:t xml:space="preserve"> Current opinion in rheumatology, 26(1), 64.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Díaz-González, J. F., Amaro, I. F., 2007. La célula B en la patogenia de la artritis reumatoide.</w:t>
      </w:r>
      <w:r w:rsid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Reumatología Clínica, 3(4), 176-182.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Feldmann, M., Brennan, F. M., Maini, R. N., 1996. Role of cytokines in rheumatoid arthritis. Annual</w:t>
      </w:r>
      <w:r w:rsidR="0038477B" w:rsidRP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review of immunology, 14(1), 397-440.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Goulielmos, G. N., Zervou, M. I., Myrthianou, E., Burska, A., Niewold, T. B., Ponchel, F., 2016.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Genetic data: The new challenge of personalized medicine, insights for rheumatoid arthritis patients.</w:t>
      </w:r>
      <w:r w:rsid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Gene, 583(2), 90-101.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Grassi, W., De Angelis, R., Lamanna, G., Cervini, C.</w:t>
      </w:r>
      <w:r w:rsidR="00EE6293" w:rsidRPr="000211BA">
        <w:rPr>
          <w:rFonts w:ascii="Arial" w:hAnsi="Arial" w:cs="Arial"/>
          <w:sz w:val="24"/>
        </w:rPr>
        <w:t>, 1998</w:t>
      </w:r>
      <w:r w:rsidRPr="000211BA">
        <w:rPr>
          <w:rFonts w:ascii="Arial" w:hAnsi="Arial" w:cs="Arial"/>
          <w:sz w:val="24"/>
        </w:rPr>
        <w:t>. The clinical features of rheumatoid</w:t>
      </w:r>
      <w:r w:rsid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arthritis. European journal of radiology, 27, S18-S24.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lastRenderedPageBreak/>
        <w:t xml:space="preserve">Komatsu, N., Takayanagi, H., 2012. Inflammation and bone destruction in arthritis: </w:t>
      </w:r>
      <w:r w:rsidR="000211BA">
        <w:rPr>
          <w:rFonts w:ascii="Arial" w:hAnsi="Arial" w:cs="Arial"/>
          <w:sz w:val="24"/>
        </w:rPr>
        <w:t xml:space="preserve">Synergistic </w:t>
      </w:r>
      <w:r w:rsidRPr="000211BA">
        <w:rPr>
          <w:rFonts w:ascii="Arial" w:hAnsi="Arial" w:cs="Arial"/>
          <w:sz w:val="24"/>
        </w:rPr>
        <w:t>activity of immune and mesenchymal cells in joints. Frontiers in immunology, 3, 77.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Komatsu, N., Takayanagi, H., 2012. Autoimmune Arthritis: The Interface Between the Immune</w:t>
      </w:r>
      <w:r w:rsid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System and Joints. Advances in immunology, 115, 45.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Kourilovitch, M., Galarza-Maldonado, C., Ortiz-Prado, E., 2014. Diagnosis and classification of</w:t>
      </w:r>
      <w:r w:rsid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rheumatoid arthritis. Journal of autoimmunity, 48, 26-30.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Kumar, L. D., Karthik, R., Gayathri, N., Sivasudha, T., 2016. Advancement in contemporary diagnostic</w:t>
      </w:r>
      <w:r w:rsidR="0032015E" w:rsidRPr="000211BA">
        <w:rPr>
          <w:rFonts w:ascii="Arial" w:hAnsi="Arial" w:cs="Arial"/>
          <w:sz w:val="24"/>
        </w:rPr>
        <w:t xml:space="preserve">m </w:t>
      </w:r>
      <w:r w:rsidRPr="000211BA">
        <w:rPr>
          <w:rFonts w:ascii="Arial" w:hAnsi="Arial" w:cs="Arial"/>
          <w:sz w:val="24"/>
        </w:rPr>
        <w:t>and therapeutic approaches for rheumatoid arthritis. Biomedicine &amp; Pharmacotherapy, 79, 52-61.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Mateen, S., Zafar, A., Moin, S., Khan, A. Q., Zubair, S., 2016. Understanding the role of cytokines in</w:t>
      </w:r>
      <w:r w:rsidR="0038477B" w:rsidRP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the pathogenesis of rheumatoid arthritis. Clinica Chimica Acta, 455, 161-171.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Mellado, M., Martínez-Muñoz, L., Cascio, G., Lucas, P., Pablos, J. L., Rodríguez-Frade, J. M. (2015). T</w:t>
      </w:r>
      <w:r w:rsidR="0032015E" w:rsidRP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cell migration in rheumatoid arthritis. Frontiers in immunology, 6, 384.</w:t>
      </w:r>
    </w:p>
    <w:p w:rsidR="00351B32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Prete, M., Racanelli, V., Digiglio, L., Vacca, A., Dammacco, F., Perosa, F., 2011. Extra-articular</w:t>
      </w:r>
      <w:r w:rsid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manifestations of rheumatoid arthritis: an update. Autoimmunity reviews, 11(2), 123-131.</w:t>
      </w:r>
    </w:p>
    <w:p w:rsidR="00212249" w:rsidRPr="000211BA" w:rsidRDefault="00351B32" w:rsidP="000211B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211BA">
        <w:rPr>
          <w:rFonts w:ascii="Arial" w:hAnsi="Arial" w:cs="Arial"/>
          <w:sz w:val="24"/>
        </w:rPr>
        <w:t>Roberts, C. A., Dickinson, A. K., Taams, L. S., 2015. The interplay between monocytes/macrophages</w:t>
      </w:r>
      <w:r w:rsidR="0032015E" w:rsidRPr="000211BA">
        <w:rPr>
          <w:rFonts w:ascii="Arial" w:hAnsi="Arial" w:cs="Arial"/>
          <w:sz w:val="24"/>
        </w:rPr>
        <w:t xml:space="preserve"> </w:t>
      </w:r>
      <w:r w:rsidRPr="000211BA">
        <w:rPr>
          <w:rFonts w:ascii="Arial" w:hAnsi="Arial" w:cs="Arial"/>
          <w:sz w:val="24"/>
        </w:rPr>
        <w:t>and CD4+ T cell subsets in rheumatoid arthritis. Frontiers in immunology, 6.</w:t>
      </w:r>
    </w:p>
    <w:sectPr w:rsidR="00212249" w:rsidRPr="000211BA" w:rsidSect="001B7D5D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438B5"/>
    <w:multiLevelType w:val="hybridMultilevel"/>
    <w:tmpl w:val="2FDEC9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893C4210">
      <w:start w:val="1"/>
      <w:numFmt w:val="upperLetter"/>
      <w:lvlText w:val="%2."/>
      <w:lvlJc w:val="left"/>
      <w:pPr>
        <w:ind w:left="1125" w:hanging="4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92"/>
    <w:rsid w:val="000211BA"/>
    <w:rsid w:val="000E7818"/>
    <w:rsid w:val="00191E51"/>
    <w:rsid w:val="001B7D5D"/>
    <w:rsid w:val="00212249"/>
    <w:rsid w:val="002633A1"/>
    <w:rsid w:val="0032015E"/>
    <w:rsid w:val="00351B32"/>
    <w:rsid w:val="00365C75"/>
    <w:rsid w:val="0038477B"/>
    <w:rsid w:val="00420C70"/>
    <w:rsid w:val="004D2DA8"/>
    <w:rsid w:val="005844F2"/>
    <w:rsid w:val="00591543"/>
    <w:rsid w:val="00595090"/>
    <w:rsid w:val="005E7E5B"/>
    <w:rsid w:val="00642015"/>
    <w:rsid w:val="006E27FC"/>
    <w:rsid w:val="00785A20"/>
    <w:rsid w:val="007A3BA1"/>
    <w:rsid w:val="007B47A4"/>
    <w:rsid w:val="007B7E10"/>
    <w:rsid w:val="007E5E8B"/>
    <w:rsid w:val="008B3B8D"/>
    <w:rsid w:val="00954A49"/>
    <w:rsid w:val="009759EC"/>
    <w:rsid w:val="00987EF7"/>
    <w:rsid w:val="00A06608"/>
    <w:rsid w:val="00B0233D"/>
    <w:rsid w:val="00B06271"/>
    <w:rsid w:val="00B20248"/>
    <w:rsid w:val="00B75DFC"/>
    <w:rsid w:val="00B8776F"/>
    <w:rsid w:val="00BD2C36"/>
    <w:rsid w:val="00C6361A"/>
    <w:rsid w:val="00CF13C4"/>
    <w:rsid w:val="00D9623E"/>
    <w:rsid w:val="00DB45C3"/>
    <w:rsid w:val="00DF1296"/>
    <w:rsid w:val="00E33581"/>
    <w:rsid w:val="00EB04F7"/>
    <w:rsid w:val="00EE6293"/>
    <w:rsid w:val="00FA48E4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134C3-FAD2-4266-A858-8755C432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ES" w:eastAsia="ko-KR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01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2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9389-7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enangzalez93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3169</Words>
  <Characters>17435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30</cp:revision>
  <dcterms:created xsi:type="dcterms:W3CDTF">2022-05-28T21:06:00Z</dcterms:created>
  <dcterms:modified xsi:type="dcterms:W3CDTF">2022-06-04T17:53:00Z</dcterms:modified>
</cp:coreProperties>
</file>